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EC24" w14:textId="5F33ADB1" w:rsidR="00921F8C" w:rsidRPr="00416FEC" w:rsidRDefault="0027545F" w:rsidP="00436442">
      <w:pPr>
        <w:jc w:val="right"/>
        <w:rPr>
          <w:rFonts w:asciiTheme="minorBidi" w:hAnsiTheme="minorBidi"/>
          <w:sz w:val="23"/>
          <w:szCs w:val="23"/>
        </w:rPr>
      </w:pPr>
      <w:r w:rsidRPr="00416FEC">
        <w:rPr>
          <w:rFonts w:asciiTheme="minorBidi" w:hAnsiTheme="minorBidi"/>
          <w:noProof/>
          <w:sz w:val="23"/>
          <w:szCs w:val="23"/>
          <w:lang w:eastAsia="en-GB"/>
        </w:rPr>
        <w:drawing>
          <wp:inline distT="0" distB="0" distL="0" distR="0" wp14:anchorId="05DCC0A6" wp14:editId="00D7670B">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1"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195B9E2D" w14:textId="32C8BCF8" w:rsidR="00436442" w:rsidRPr="00436442" w:rsidRDefault="00173A89" w:rsidP="00173A89">
      <w:pPr>
        <w:jc w:val="right"/>
        <w:rPr>
          <w:rFonts w:ascii="Arial" w:hAnsi="Arial" w:cs="Arial"/>
          <w:b/>
          <w:bCs/>
          <w:sz w:val="23"/>
          <w:szCs w:val="23"/>
        </w:rPr>
      </w:pPr>
      <w:r>
        <w:rPr>
          <w:rFonts w:asciiTheme="minorBidi" w:hAnsiTheme="minorBidi"/>
          <w:sz w:val="23"/>
          <w:szCs w:val="23"/>
        </w:rPr>
        <w:t>CWB Item xx</w:t>
      </w:r>
      <w:r w:rsidR="0032210E">
        <w:rPr>
          <w:rFonts w:asciiTheme="minorBidi" w:hAnsiTheme="minorBidi"/>
          <w:sz w:val="23"/>
          <w:szCs w:val="23"/>
        </w:rPr>
        <w:t xml:space="preserve"> </w:t>
      </w:r>
      <w:r>
        <w:rPr>
          <w:rFonts w:asciiTheme="minorBidi" w:hAnsiTheme="minorBidi"/>
          <w:sz w:val="23"/>
          <w:szCs w:val="23"/>
        </w:rPr>
        <w:t>A</w:t>
      </w:r>
      <w:r w:rsidR="0032210E">
        <w:rPr>
          <w:rFonts w:asciiTheme="minorBidi" w:hAnsiTheme="minorBidi"/>
          <w:sz w:val="23"/>
          <w:szCs w:val="23"/>
        </w:rPr>
        <w:t>nnex</w:t>
      </w:r>
    </w:p>
    <w:p w14:paraId="5415A491" w14:textId="77777777" w:rsidR="00555341" w:rsidRPr="00436442" w:rsidRDefault="00555341" w:rsidP="00436442">
      <w:pPr>
        <w:rPr>
          <w:rFonts w:ascii="Arial" w:hAnsi="Arial" w:cs="Arial"/>
          <w:b/>
          <w:bCs/>
          <w:sz w:val="23"/>
          <w:szCs w:val="23"/>
        </w:rPr>
      </w:pPr>
    </w:p>
    <w:p w14:paraId="6099CA67" w14:textId="54D8BC42" w:rsidR="00C32695" w:rsidRPr="00436442" w:rsidRDefault="00C406BF" w:rsidP="0027545F">
      <w:pPr>
        <w:jc w:val="center"/>
        <w:rPr>
          <w:rFonts w:ascii="Arial" w:hAnsi="Arial" w:cs="Arial"/>
          <w:b/>
          <w:bCs/>
          <w:sz w:val="23"/>
          <w:szCs w:val="23"/>
        </w:rPr>
      </w:pPr>
      <w:r w:rsidRPr="00436442">
        <w:rPr>
          <w:rFonts w:ascii="Arial" w:hAnsi="Arial" w:cs="Arial"/>
          <w:b/>
          <w:bCs/>
          <w:sz w:val="23"/>
          <w:szCs w:val="23"/>
        </w:rPr>
        <w:t>MAC s</w:t>
      </w:r>
      <w:r w:rsidR="0027545F" w:rsidRPr="00436442">
        <w:rPr>
          <w:rFonts w:ascii="Arial" w:hAnsi="Arial" w:cs="Arial"/>
          <w:b/>
          <w:bCs/>
          <w:sz w:val="23"/>
          <w:szCs w:val="23"/>
        </w:rPr>
        <w:t>alary threshold and points-based system commission:</w:t>
      </w:r>
    </w:p>
    <w:p w14:paraId="5E4D73C1" w14:textId="7FBF5581" w:rsidR="0027545F" w:rsidRDefault="00C32695" w:rsidP="00263873">
      <w:pPr>
        <w:jc w:val="center"/>
        <w:rPr>
          <w:rFonts w:ascii="Arial" w:hAnsi="Arial" w:cs="Arial"/>
          <w:b/>
          <w:bCs/>
          <w:sz w:val="23"/>
          <w:szCs w:val="23"/>
        </w:rPr>
      </w:pPr>
      <w:r w:rsidRPr="00436442">
        <w:rPr>
          <w:rFonts w:ascii="Arial" w:hAnsi="Arial" w:cs="Arial"/>
          <w:b/>
          <w:bCs/>
          <w:sz w:val="23"/>
          <w:szCs w:val="23"/>
        </w:rPr>
        <w:t xml:space="preserve">COSLA response to </w:t>
      </w:r>
      <w:r w:rsidR="0027545F" w:rsidRPr="00436442">
        <w:rPr>
          <w:rFonts w:ascii="Arial" w:hAnsi="Arial" w:cs="Arial"/>
          <w:b/>
          <w:bCs/>
          <w:sz w:val="23"/>
          <w:szCs w:val="23"/>
        </w:rPr>
        <w:t>call for evidence</w:t>
      </w:r>
    </w:p>
    <w:p w14:paraId="0881F1DD" w14:textId="77777777" w:rsidR="00B01904" w:rsidRPr="00436442" w:rsidRDefault="00B01904" w:rsidP="0027545F">
      <w:pPr>
        <w:jc w:val="center"/>
        <w:rPr>
          <w:rFonts w:ascii="Arial" w:hAnsi="Arial" w:cs="Arial"/>
          <w:b/>
          <w:bCs/>
          <w:sz w:val="23"/>
          <w:szCs w:val="23"/>
        </w:rPr>
      </w:pPr>
    </w:p>
    <w:p w14:paraId="1849E7CB" w14:textId="623E0CF4" w:rsidR="0027545F" w:rsidRPr="00436442" w:rsidRDefault="0027545F" w:rsidP="0027545F">
      <w:pPr>
        <w:rPr>
          <w:rFonts w:ascii="Arial" w:hAnsi="Arial" w:cs="Arial"/>
          <w:b/>
          <w:bCs/>
          <w:sz w:val="23"/>
          <w:szCs w:val="23"/>
        </w:rPr>
      </w:pPr>
      <w:r w:rsidRPr="00436442">
        <w:rPr>
          <w:rFonts w:ascii="Arial" w:hAnsi="Arial" w:cs="Arial"/>
          <w:b/>
          <w:bCs/>
          <w:sz w:val="23"/>
          <w:szCs w:val="23"/>
        </w:rPr>
        <w:t>Introduction</w:t>
      </w:r>
    </w:p>
    <w:p w14:paraId="0183DA7D" w14:textId="4909D238" w:rsidR="00C2254F" w:rsidRPr="00436442" w:rsidRDefault="00C2254F" w:rsidP="0027545F">
      <w:pPr>
        <w:rPr>
          <w:rFonts w:ascii="Arial" w:hAnsi="Arial" w:cs="Arial"/>
          <w:sz w:val="23"/>
          <w:szCs w:val="23"/>
        </w:rPr>
      </w:pPr>
    </w:p>
    <w:p w14:paraId="184CCBE0" w14:textId="73CE49D9" w:rsidR="0027545F" w:rsidRPr="00436442" w:rsidRDefault="0027545F" w:rsidP="0027545F">
      <w:pPr>
        <w:pStyle w:val="ListParagraph"/>
        <w:numPr>
          <w:ilvl w:val="0"/>
          <w:numId w:val="2"/>
        </w:numPr>
        <w:rPr>
          <w:rFonts w:ascii="Arial" w:hAnsi="Arial" w:cs="Arial"/>
          <w:sz w:val="23"/>
          <w:szCs w:val="23"/>
        </w:rPr>
      </w:pPr>
      <w:r w:rsidRPr="00436442">
        <w:rPr>
          <w:rFonts w:ascii="Arial" w:hAnsi="Arial" w:cs="Arial"/>
          <w:sz w:val="23"/>
          <w:szCs w:val="23"/>
        </w:rPr>
        <w:t xml:space="preserve">The Convention of Scottish Local Authorities (COSLA) is the representative voice of </w:t>
      </w:r>
      <w:r w:rsidR="008B1790" w:rsidRPr="00436442">
        <w:rPr>
          <w:rFonts w:ascii="Arial" w:hAnsi="Arial" w:cs="Arial"/>
          <w:sz w:val="23"/>
          <w:szCs w:val="23"/>
        </w:rPr>
        <w:t>L</w:t>
      </w:r>
      <w:r w:rsidR="004A0189" w:rsidRPr="00436442">
        <w:rPr>
          <w:rFonts w:ascii="Arial" w:hAnsi="Arial" w:cs="Arial"/>
          <w:sz w:val="23"/>
          <w:szCs w:val="23"/>
        </w:rPr>
        <w:t xml:space="preserve">ocal </w:t>
      </w:r>
      <w:r w:rsidR="008B1790" w:rsidRPr="00436442">
        <w:rPr>
          <w:rFonts w:ascii="Arial" w:hAnsi="Arial" w:cs="Arial"/>
          <w:sz w:val="23"/>
          <w:szCs w:val="23"/>
        </w:rPr>
        <w:t>G</w:t>
      </w:r>
      <w:r w:rsidR="004A0189" w:rsidRPr="00436442">
        <w:rPr>
          <w:rFonts w:ascii="Arial" w:hAnsi="Arial" w:cs="Arial"/>
          <w:sz w:val="23"/>
          <w:szCs w:val="23"/>
        </w:rPr>
        <w:t xml:space="preserve">overnment in Scotland.  COSLA represents the views of Scotland’s 32 local authorities, and also acts as the employers’ association for local authorities. </w:t>
      </w:r>
      <w:r w:rsidR="00565C99" w:rsidRPr="00436442">
        <w:rPr>
          <w:rFonts w:ascii="Arial" w:hAnsi="Arial" w:cs="Arial"/>
          <w:sz w:val="23"/>
          <w:szCs w:val="23"/>
        </w:rPr>
        <w:t xml:space="preserve"> </w:t>
      </w:r>
      <w:r w:rsidR="004A0189" w:rsidRPr="00436442">
        <w:rPr>
          <w:rFonts w:ascii="Arial" w:hAnsi="Arial" w:cs="Arial"/>
          <w:sz w:val="23"/>
          <w:szCs w:val="23"/>
        </w:rPr>
        <w:t xml:space="preserve">Total employment in Scottish </w:t>
      </w:r>
      <w:r w:rsidR="00565C99" w:rsidRPr="00436442">
        <w:rPr>
          <w:rFonts w:ascii="Arial" w:hAnsi="Arial" w:cs="Arial"/>
          <w:sz w:val="23"/>
          <w:szCs w:val="23"/>
        </w:rPr>
        <w:t>L</w:t>
      </w:r>
      <w:r w:rsidR="004A0189" w:rsidRPr="00436442">
        <w:rPr>
          <w:rFonts w:ascii="Arial" w:hAnsi="Arial" w:cs="Arial"/>
          <w:sz w:val="23"/>
          <w:szCs w:val="23"/>
        </w:rPr>
        <w:t xml:space="preserve">ocal </w:t>
      </w:r>
      <w:r w:rsidR="00565C99" w:rsidRPr="00436442">
        <w:rPr>
          <w:rFonts w:ascii="Arial" w:hAnsi="Arial" w:cs="Arial"/>
          <w:sz w:val="23"/>
          <w:szCs w:val="23"/>
        </w:rPr>
        <w:t>G</w:t>
      </w:r>
      <w:r w:rsidR="004A0189" w:rsidRPr="00436442">
        <w:rPr>
          <w:rFonts w:ascii="Arial" w:hAnsi="Arial" w:cs="Arial"/>
          <w:sz w:val="23"/>
          <w:szCs w:val="23"/>
        </w:rPr>
        <w:t>overnment was 251,000 in June 2019.</w:t>
      </w:r>
      <w:r w:rsidR="004A0189" w:rsidRPr="00436442">
        <w:rPr>
          <w:rStyle w:val="FootnoteReference"/>
          <w:rFonts w:ascii="Arial" w:hAnsi="Arial" w:cs="Arial"/>
          <w:sz w:val="23"/>
          <w:szCs w:val="23"/>
        </w:rPr>
        <w:footnoteReference w:id="1"/>
      </w:r>
    </w:p>
    <w:p w14:paraId="72C961EF" w14:textId="77777777" w:rsidR="00D80BC2" w:rsidRPr="00436442" w:rsidRDefault="00D80BC2" w:rsidP="00D80BC2">
      <w:pPr>
        <w:pStyle w:val="ListParagraph"/>
        <w:ind w:left="360"/>
        <w:rPr>
          <w:rFonts w:ascii="Arial" w:hAnsi="Arial" w:cs="Arial"/>
          <w:sz w:val="23"/>
          <w:szCs w:val="23"/>
        </w:rPr>
      </w:pPr>
    </w:p>
    <w:p w14:paraId="130BCC8A" w14:textId="2D62FFBA" w:rsidR="004A0189" w:rsidRPr="00436442" w:rsidRDefault="004A0189" w:rsidP="0027545F">
      <w:pPr>
        <w:pStyle w:val="ListParagraph"/>
        <w:numPr>
          <w:ilvl w:val="0"/>
          <w:numId w:val="2"/>
        </w:numPr>
        <w:rPr>
          <w:rFonts w:ascii="Arial" w:hAnsi="Arial" w:cs="Arial"/>
          <w:sz w:val="23"/>
          <w:szCs w:val="23"/>
        </w:rPr>
      </w:pPr>
      <w:r w:rsidRPr="00436442">
        <w:rPr>
          <w:rFonts w:ascii="Arial" w:hAnsi="Arial" w:cs="Arial"/>
          <w:sz w:val="23"/>
          <w:szCs w:val="23"/>
        </w:rPr>
        <w:t xml:space="preserve">This submission has been prepared by COSLA in consultation with our member councils.  We have received </w:t>
      </w:r>
      <w:r w:rsidR="00C2254F" w:rsidRPr="00436442">
        <w:rPr>
          <w:rFonts w:ascii="Arial" w:hAnsi="Arial" w:cs="Arial"/>
          <w:sz w:val="23"/>
          <w:szCs w:val="23"/>
        </w:rPr>
        <w:t>formal written evidence from a total of 1</w:t>
      </w:r>
      <w:r w:rsidR="005B3FF0">
        <w:rPr>
          <w:rFonts w:ascii="Arial" w:hAnsi="Arial" w:cs="Arial"/>
          <w:sz w:val="23"/>
          <w:szCs w:val="23"/>
        </w:rPr>
        <w:t>6</w:t>
      </w:r>
      <w:r w:rsidR="00C2254F" w:rsidRPr="00436442">
        <w:rPr>
          <w:rFonts w:ascii="Arial" w:hAnsi="Arial" w:cs="Arial"/>
          <w:sz w:val="23"/>
          <w:szCs w:val="23"/>
        </w:rPr>
        <w:t xml:space="preserve"> local authorities.  The</w:t>
      </w:r>
      <w:r w:rsidR="0080628B" w:rsidRPr="00436442">
        <w:rPr>
          <w:rFonts w:ascii="Arial" w:hAnsi="Arial" w:cs="Arial"/>
          <w:sz w:val="23"/>
          <w:szCs w:val="23"/>
        </w:rPr>
        <w:t>se</w:t>
      </w:r>
      <w:r w:rsidR="00C2254F" w:rsidRPr="00436442">
        <w:rPr>
          <w:rFonts w:ascii="Arial" w:hAnsi="Arial" w:cs="Arial"/>
          <w:sz w:val="23"/>
          <w:szCs w:val="23"/>
        </w:rPr>
        <w:t xml:space="preserve"> are: </w:t>
      </w:r>
      <w:r w:rsidR="009C04B8" w:rsidRPr="00436442">
        <w:rPr>
          <w:rFonts w:ascii="Arial" w:hAnsi="Arial" w:cs="Arial"/>
          <w:sz w:val="23"/>
          <w:szCs w:val="23"/>
        </w:rPr>
        <w:t xml:space="preserve">Aberdeen City Council, </w:t>
      </w:r>
      <w:r w:rsidR="00C2254F" w:rsidRPr="00436442">
        <w:rPr>
          <w:rFonts w:ascii="Arial" w:hAnsi="Arial" w:cs="Arial"/>
          <w:sz w:val="23"/>
          <w:szCs w:val="23"/>
        </w:rPr>
        <w:t xml:space="preserve">Angus Council, </w:t>
      </w:r>
      <w:r w:rsidR="00775994">
        <w:rPr>
          <w:rFonts w:ascii="Arial" w:hAnsi="Arial" w:cs="Arial"/>
          <w:sz w:val="23"/>
          <w:szCs w:val="23"/>
        </w:rPr>
        <w:t>Comha</w:t>
      </w:r>
      <w:r w:rsidR="00E1347D">
        <w:rPr>
          <w:rFonts w:ascii="Arial" w:hAnsi="Arial" w:cs="Arial"/>
          <w:sz w:val="23"/>
          <w:szCs w:val="23"/>
        </w:rPr>
        <w:t xml:space="preserve">irle nan Eilean Siar, </w:t>
      </w:r>
      <w:r w:rsidR="00C2254F" w:rsidRPr="00436442">
        <w:rPr>
          <w:rFonts w:ascii="Arial" w:hAnsi="Arial" w:cs="Arial"/>
          <w:sz w:val="23"/>
          <w:szCs w:val="23"/>
        </w:rPr>
        <w:t xml:space="preserve">Dumfries &amp; Galloway Council, East Ayrshire Council, East Lothian Council, East Renfrewshire Council, </w:t>
      </w:r>
      <w:r w:rsidR="005B3FF0">
        <w:rPr>
          <w:rFonts w:ascii="Arial" w:hAnsi="Arial" w:cs="Arial"/>
          <w:sz w:val="23"/>
          <w:szCs w:val="23"/>
        </w:rPr>
        <w:t xml:space="preserve">Falkirk Council, </w:t>
      </w:r>
      <w:r w:rsidR="00C2254F" w:rsidRPr="00436442">
        <w:rPr>
          <w:rFonts w:ascii="Arial" w:hAnsi="Arial" w:cs="Arial"/>
          <w:sz w:val="23"/>
          <w:szCs w:val="23"/>
        </w:rPr>
        <w:t xml:space="preserve">Fife Council, Glasgow City Council, Highland Council, </w:t>
      </w:r>
      <w:r w:rsidR="001D26AD" w:rsidRPr="00436442">
        <w:rPr>
          <w:rFonts w:ascii="Arial" w:hAnsi="Arial" w:cs="Arial"/>
          <w:sz w:val="23"/>
          <w:szCs w:val="23"/>
        </w:rPr>
        <w:t xml:space="preserve">North Ayrshire Council, </w:t>
      </w:r>
      <w:r w:rsidR="00C2254F" w:rsidRPr="00436442">
        <w:rPr>
          <w:rFonts w:ascii="Arial" w:hAnsi="Arial" w:cs="Arial"/>
          <w:sz w:val="23"/>
          <w:szCs w:val="23"/>
        </w:rPr>
        <w:t xml:space="preserve">Scottish Borders Council, Shetland Islands Council, </w:t>
      </w:r>
      <w:r w:rsidR="006354C0" w:rsidRPr="00436442">
        <w:rPr>
          <w:rFonts w:ascii="Arial" w:hAnsi="Arial" w:cs="Arial"/>
          <w:sz w:val="23"/>
          <w:szCs w:val="23"/>
        </w:rPr>
        <w:t xml:space="preserve">South Ayrshire Council, </w:t>
      </w:r>
      <w:r w:rsidR="00C2254F" w:rsidRPr="00436442">
        <w:rPr>
          <w:rFonts w:ascii="Arial" w:hAnsi="Arial" w:cs="Arial"/>
          <w:sz w:val="23"/>
          <w:szCs w:val="23"/>
        </w:rPr>
        <w:t xml:space="preserve">and South Lanarkshire Council. </w:t>
      </w:r>
    </w:p>
    <w:p w14:paraId="67394C53" w14:textId="77777777" w:rsidR="00D80BC2" w:rsidRPr="00436442" w:rsidRDefault="00D80BC2" w:rsidP="00D80BC2">
      <w:pPr>
        <w:pStyle w:val="ListParagraph"/>
        <w:ind w:left="360"/>
        <w:rPr>
          <w:rFonts w:ascii="Arial" w:hAnsi="Arial" w:cs="Arial"/>
          <w:sz w:val="23"/>
          <w:szCs w:val="23"/>
        </w:rPr>
      </w:pPr>
    </w:p>
    <w:p w14:paraId="6EE9ABE6" w14:textId="3F2B912B" w:rsidR="00C2254F" w:rsidRPr="00436442" w:rsidRDefault="00C2254F" w:rsidP="0027545F">
      <w:pPr>
        <w:pStyle w:val="ListParagraph"/>
        <w:numPr>
          <w:ilvl w:val="0"/>
          <w:numId w:val="2"/>
        </w:numPr>
        <w:rPr>
          <w:rFonts w:ascii="Arial" w:hAnsi="Arial" w:cs="Arial"/>
          <w:sz w:val="23"/>
          <w:szCs w:val="23"/>
        </w:rPr>
      </w:pPr>
      <w:r w:rsidRPr="00436442">
        <w:rPr>
          <w:rFonts w:ascii="Arial" w:hAnsi="Arial" w:cs="Arial"/>
          <w:sz w:val="23"/>
          <w:szCs w:val="23"/>
        </w:rPr>
        <w:t>This submission was discussed and agreed by COSLA Community Wellbeing Board on Friday 8</w:t>
      </w:r>
      <w:r w:rsidRPr="00436442">
        <w:rPr>
          <w:rFonts w:ascii="Arial" w:hAnsi="Arial" w:cs="Arial"/>
          <w:sz w:val="23"/>
          <w:szCs w:val="23"/>
          <w:vertAlign w:val="superscript"/>
        </w:rPr>
        <w:t>th</w:t>
      </w:r>
      <w:r w:rsidRPr="00436442">
        <w:rPr>
          <w:rFonts w:ascii="Arial" w:hAnsi="Arial" w:cs="Arial"/>
          <w:sz w:val="23"/>
          <w:szCs w:val="23"/>
        </w:rPr>
        <w:t xml:space="preserve"> November 2019.  All </w:t>
      </w:r>
      <w:r w:rsidR="00A4237B" w:rsidRPr="00436442">
        <w:rPr>
          <w:rFonts w:ascii="Arial" w:hAnsi="Arial" w:cs="Arial"/>
          <w:sz w:val="23"/>
          <w:szCs w:val="23"/>
        </w:rPr>
        <w:t>32</w:t>
      </w:r>
      <w:r w:rsidRPr="00436442">
        <w:rPr>
          <w:rFonts w:ascii="Arial" w:hAnsi="Arial" w:cs="Arial"/>
          <w:sz w:val="23"/>
          <w:szCs w:val="23"/>
        </w:rPr>
        <w:t xml:space="preserve"> councils </w:t>
      </w:r>
      <w:r w:rsidR="00A4237B" w:rsidRPr="00436442">
        <w:rPr>
          <w:rFonts w:ascii="Arial" w:hAnsi="Arial" w:cs="Arial"/>
          <w:sz w:val="23"/>
          <w:szCs w:val="23"/>
        </w:rPr>
        <w:t xml:space="preserve">in Scotland </w:t>
      </w:r>
      <w:r w:rsidRPr="00436442">
        <w:rPr>
          <w:rFonts w:ascii="Arial" w:hAnsi="Arial" w:cs="Arial"/>
          <w:sz w:val="23"/>
          <w:szCs w:val="23"/>
        </w:rPr>
        <w:t xml:space="preserve">have political representation on the Community Wellbeing Board. </w:t>
      </w:r>
    </w:p>
    <w:p w14:paraId="36A906C7" w14:textId="77777777" w:rsidR="00D80BC2" w:rsidRPr="00436442" w:rsidRDefault="00D80BC2" w:rsidP="00D80BC2">
      <w:pPr>
        <w:pStyle w:val="ListParagraph"/>
        <w:ind w:left="360"/>
        <w:rPr>
          <w:rFonts w:ascii="Arial" w:hAnsi="Arial" w:cs="Arial"/>
          <w:sz w:val="23"/>
          <w:szCs w:val="23"/>
        </w:rPr>
      </w:pPr>
    </w:p>
    <w:p w14:paraId="100A6847" w14:textId="1C31F6B4" w:rsidR="001A5ECB" w:rsidRPr="00436442" w:rsidRDefault="00003A60" w:rsidP="001A5ECB">
      <w:pPr>
        <w:pStyle w:val="ListParagraph"/>
        <w:numPr>
          <w:ilvl w:val="0"/>
          <w:numId w:val="2"/>
        </w:numPr>
        <w:rPr>
          <w:rFonts w:ascii="Arial" w:hAnsi="Arial" w:cs="Arial"/>
          <w:sz w:val="23"/>
          <w:szCs w:val="23"/>
        </w:rPr>
      </w:pPr>
      <w:r w:rsidRPr="00436442">
        <w:rPr>
          <w:rFonts w:ascii="Arial" w:hAnsi="Arial" w:cs="Arial"/>
          <w:sz w:val="23"/>
          <w:szCs w:val="23"/>
        </w:rPr>
        <w:t xml:space="preserve">COSLA has chosen to send our response in report format rather than the online form, as the online format is focused on </w:t>
      </w:r>
      <w:r w:rsidR="00EE21C0" w:rsidRPr="00436442">
        <w:rPr>
          <w:rFonts w:ascii="Arial" w:hAnsi="Arial" w:cs="Arial"/>
          <w:sz w:val="23"/>
          <w:szCs w:val="23"/>
        </w:rPr>
        <w:t>our member councils</w:t>
      </w:r>
      <w:r w:rsidRPr="00436442">
        <w:rPr>
          <w:rFonts w:ascii="Arial" w:hAnsi="Arial" w:cs="Arial"/>
          <w:sz w:val="23"/>
          <w:szCs w:val="23"/>
        </w:rPr>
        <w:t xml:space="preserve"> as employer</w:t>
      </w:r>
      <w:r w:rsidR="00EE21C0" w:rsidRPr="00436442">
        <w:rPr>
          <w:rFonts w:ascii="Arial" w:hAnsi="Arial" w:cs="Arial"/>
          <w:sz w:val="23"/>
          <w:szCs w:val="23"/>
        </w:rPr>
        <w:t>s</w:t>
      </w:r>
      <w:r w:rsidRPr="00436442">
        <w:rPr>
          <w:rFonts w:ascii="Arial" w:hAnsi="Arial" w:cs="Arial"/>
          <w:sz w:val="23"/>
          <w:szCs w:val="23"/>
        </w:rPr>
        <w:t xml:space="preserve">.  This limits our opportunity to highlight </w:t>
      </w:r>
      <w:r w:rsidR="00EE21C0" w:rsidRPr="00436442">
        <w:rPr>
          <w:rFonts w:ascii="Arial" w:hAnsi="Arial" w:cs="Arial"/>
          <w:sz w:val="23"/>
          <w:szCs w:val="23"/>
        </w:rPr>
        <w:t xml:space="preserve">our </w:t>
      </w:r>
      <w:r w:rsidRPr="00436442">
        <w:rPr>
          <w:rFonts w:ascii="Arial" w:hAnsi="Arial" w:cs="Arial"/>
          <w:sz w:val="23"/>
          <w:szCs w:val="23"/>
        </w:rPr>
        <w:t>significant concerns in relation to wider economic and social impacts.  Where possible we</w:t>
      </w:r>
      <w:r w:rsidR="00EE21C0" w:rsidRPr="00436442">
        <w:rPr>
          <w:rFonts w:ascii="Arial" w:hAnsi="Arial" w:cs="Arial"/>
          <w:sz w:val="23"/>
          <w:szCs w:val="23"/>
        </w:rPr>
        <w:t xml:space="preserve"> </w:t>
      </w:r>
      <w:r w:rsidRPr="00436442">
        <w:rPr>
          <w:rFonts w:ascii="Arial" w:hAnsi="Arial" w:cs="Arial"/>
          <w:sz w:val="23"/>
          <w:szCs w:val="23"/>
        </w:rPr>
        <w:t>have tried to adhere to MAC’s structure and questions.</w:t>
      </w:r>
    </w:p>
    <w:p w14:paraId="1B858298" w14:textId="77777777" w:rsidR="009C04B8" w:rsidRPr="00436442" w:rsidRDefault="009C04B8" w:rsidP="00EE21C0">
      <w:pPr>
        <w:pStyle w:val="ListParagraph"/>
        <w:rPr>
          <w:rFonts w:ascii="Arial" w:hAnsi="Arial" w:cs="Arial"/>
          <w:sz w:val="23"/>
          <w:szCs w:val="23"/>
        </w:rPr>
      </w:pPr>
    </w:p>
    <w:p w14:paraId="25C585D6" w14:textId="3F84F658" w:rsidR="001A5ECB" w:rsidRPr="00436442" w:rsidRDefault="001A5ECB" w:rsidP="001A5ECB">
      <w:pPr>
        <w:rPr>
          <w:rFonts w:ascii="Arial" w:hAnsi="Arial" w:cs="Arial"/>
          <w:b/>
          <w:bCs/>
          <w:sz w:val="23"/>
          <w:szCs w:val="23"/>
        </w:rPr>
      </w:pPr>
      <w:r w:rsidRPr="00436442">
        <w:rPr>
          <w:rFonts w:ascii="Arial" w:hAnsi="Arial" w:cs="Arial"/>
          <w:b/>
          <w:bCs/>
          <w:sz w:val="23"/>
          <w:szCs w:val="23"/>
        </w:rPr>
        <w:t xml:space="preserve">Key points </w:t>
      </w:r>
    </w:p>
    <w:p w14:paraId="24537D08" w14:textId="77777777" w:rsidR="00416FEC" w:rsidRPr="00436442" w:rsidRDefault="00416FEC" w:rsidP="00416FEC">
      <w:pPr>
        <w:pStyle w:val="ListParagraph"/>
        <w:ind w:left="360"/>
        <w:rPr>
          <w:rFonts w:ascii="Arial" w:hAnsi="Arial" w:cs="Arial"/>
          <w:sz w:val="23"/>
          <w:szCs w:val="23"/>
        </w:rPr>
      </w:pPr>
    </w:p>
    <w:p w14:paraId="7350C4E2" w14:textId="77777777" w:rsidR="00EC52AD" w:rsidRPr="00436442" w:rsidRDefault="00F403D6" w:rsidP="006368CB">
      <w:pPr>
        <w:pStyle w:val="ListParagraph"/>
        <w:numPr>
          <w:ilvl w:val="0"/>
          <w:numId w:val="2"/>
        </w:numPr>
        <w:rPr>
          <w:rFonts w:ascii="Arial" w:hAnsi="Arial" w:cs="Arial"/>
          <w:sz w:val="23"/>
          <w:szCs w:val="23"/>
        </w:rPr>
      </w:pPr>
      <w:r w:rsidRPr="00436442">
        <w:rPr>
          <w:rFonts w:ascii="Arial" w:hAnsi="Arial" w:cs="Arial"/>
          <w:sz w:val="23"/>
          <w:szCs w:val="23"/>
        </w:rPr>
        <w:t xml:space="preserve">The </w:t>
      </w:r>
      <w:r w:rsidR="001A5ECB" w:rsidRPr="00436442">
        <w:rPr>
          <w:rFonts w:ascii="Arial" w:hAnsi="Arial" w:cs="Arial"/>
          <w:sz w:val="23"/>
          <w:szCs w:val="23"/>
        </w:rPr>
        <w:t xml:space="preserve">key points </w:t>
      </w:r>
      <w:r w:rsidRPr="00436442">
        <w:rPr>
          <w:rFonts w:ascii="Arial" w:hAnsi="Arial" w:cs="Arial"/>
          <w:sz w:val="23"/>
          <w:szCs w:val="23"/>
        </w:rPr>
        <w:t xml:space="preserve">from this response </w:t>
      </w:r>
      <w:r w:rsidR="001A5ECB" w:rsidRPr="00436442">
        <w:rPr>
          <w:rFonts w:ascii="Arial" w:hAnsi="Arial" w:cs="Arial"/>
          <w:sz w:val="23"/>
          <w:szCs w:val="23"/>
        </w:rPr>
        <w:t>are</w:t>
      </w:r>
      <w:r w:rsidR="00EC52AD" w:rsidRPr="00436442">
        <w:rPr>
          <w:rFonts w:ascii="Arial" w:hAnsi="Arial" w:cs="Arial"/>
          <w:sz w:val="23"/>
          <w:szCs w:val="23"/>
        </w:rPr>
        <w:t xml:space="preserve"> as follows</w:t>
      </w:r>
      <w:r w:rsidR="001A5ECB" w:rsidRPr="00436442">
        <w:rPr>
          <w:rFonts w:ascii="Arial" w:hAnsi="Arial" w:cs="Arial"/>
          <w:sz w:val="23"/>
          <w:szCs w:val="23"/>
        </w:rPr>
        <w:t>:</w:t>
      </w:r>
    </w:p>
    <w:p w14:paraId="214A3C70" w14:textId="04D17A62" w:rsidR="001A5ECB" w:rsidRPr="00436442" w:rsidRDefault="001A5ECB" w:rsidP="00EC52AD">
      <w:pPr>
        <w:pStyle w:val="ListParagraph"/>
        <w:ind w:left="360"/>
        <w:rPr>
          <w:rFonts w:ascii="Arial" w:hAnsi="Arial" w:cs="Arial"/>
          <w:sz w:val="23"/>
          <w:szCs w:val="23"/>
        </w:rPr>
      </w:pPr>
      <w:r w:rsidRPr="00436442">
        <w:rPr>
          <w:rFonts w:ascii="Arial" w:hAnsi="Arial" w:cs="Arial"/>
          <w:sz w:val="23"/>
          <w:szCs w:val="23"/>
        </w:rPr>
        <w:t xml:space="preserve"> </w:t>
      </w:r>
    </w:p>
    <w:p w14:paraId="7C9CC5C3" w14:textId="35CB27F1" w:rsidR="00486ED2" w:rsidRPr="00436442" w:rsidRDefault="003A3EF6" w:rsidP="00486ED2">
      <w:pPr>
        <w:pStyle w:val="ListParagraph"/>
        <w:numPr>
          <w:ilvl w:val="0"/>
          <w:numId w:val="14"/>
        </w:numPr>
        <w:ind w:right="360"/>
        <w:rPr>
          <w:rFonts w:ascii="Arial" w:hAnsi="Arial" w:cs="Arial"/>
          <w:sz w:val="23"/>
          <w:szCs w:val="23"/>
        </w:rPr>
      </w:pPr>
      <w:r w:rsidRPr="00436442">
        <w:rPr>
          <w:rFonts w:ascii="Arial" w:hAnsi="Arial" w:cs="Arial"/>
          <w:sz w:val="23"/>
          <w:szCs w:val="23"/>
        </w:rPr>
        <w:t>Migratio</w:t>
      </w:r>
      <w:r w:rsidR="00486ED2" w:rsidRPr="00436442">
        <w:rPr>
          <w:rFonts w:ascii="Arial" w:hAnsi="Arial" w:cs="Arial"/>
          <w:sz w:val="23"/>
          <w:szCs w:val="23"/>
        </w:rPr>
        <w:t xml:space="preserve">n is crucial to Scotland’s economy, to Scottish local authorities and to our local communities.  COSLA and our member authorities recognise that Scotland has benefited significantly from membership of the single market, and the continuation of free movement of people would be the most advantageous system for Scotland. </w:t>
      </w:r>
    </w:p>
    <w:p w14:paraId="6B195CC8" w14:textId="34478FE7" w:rsidR="00F403D6" w:rsidRPr="00436442" w:rsidRDefault="00F403D6" w:rsidP="00F403D6">
      <w:pPr>
        <w:pStyle w:val="ListParagraph"/>
        <w:numPr>
          <w:ilvl w:val="0"/>
          <w:numId w:val="14"/>
        </w:numPr>
        <w:ind w:right="360"/>
        <w:rPr>
          <w:rFonts w:ascii="Arial" w:hAnsi="Arial" w:cs="Arial"/>
          <w:sz w:val="23"/>
          <w:szCs w:val="23"/>
        </w:rPr>
      </w:pPr>
      <w:r w:rsidRPr="00436442">
        <w:rPr>
          <w:rFonts w:ascii="Arial" w:hAnsi="Arial" w:cs="Arial"/>
          <w:sz w:val="23"/>
          <w:szCs w:val="23"/>
        </w:rPr>
        <w:t xml:space="preserve">COSLA and </w:t>
      </w:r>
      <w:r w:rsidR="00C406BF" w:rsidRPr="00436442">
        <w:rPr>
          <w:rFonts w:ascii="Arial" w:hAnsi="Arial" w:cs="Arial"/>
          <w:sz w:val="23"/>
          <w:szCs w:val="23"/>
        </w:rPr>
        <w:t xml:space="preserve">our </w:t>
      </w:r>
      <w:r w:rsidRPr="00436442">
        <w:rPr>
          <w:rFonts w:ascii="Arial" w:hAnsi="Arial" w:cs="Arial"/>
          <w:sz w:val="23"/>
          <w:szCs w:val="23"/>
        </w:rPr>
        <w:t>member councils are calling for a flexible immigration system that can meet Scotland’s economic, workforce and demographic needs</w:t>
      </w:r>
      <w:r w:rsidR="00BD69E8" w:rsidRPr="00436442">
        <w:rPr>
          <w:rFonts w:ascii="Arial" w:hAnsi="Arial" w:cs="Arial"/>
          <w:sz w:val="23"/>
          <w:szCs w:val="23"/>
        </w:rPr>
        <w:t>.  T</w:t>
      </w:r>
      <w:r w:rsidRPr="00436442">
        <w:rPr>
          <w:rFonts w:ascii="Arial" w:hAnsi="Arial" w:cs="Arial"/>
          <w:sz w:val="23"/>
          <w:szCs w:val="23"/>
        </w:rPr>
        <w:t xml:space="preserve">his must be responsive to local as well as national needs. </w:t>
      </w:r>
    </w:p>
    <w:p w14:paraId="07B4CCC3" w14:textId="356A8449" w:rsidR="00C406BF" w:rsidRPr="00436442" w:rsidRDefault="00F403D6" w:rsidP="00C406BF">
      <w:pPr>
        <w:pStyle w:val="ListParagraph"/>
        <w:numPr>
          <w:ilvl w:val="0"/>
          <w:numId w:val="14"/>
        </w:numPr>
        <w:ind w:right="360"/>
        <w:rPr>
          <w:rFonts w:ascii="Arial" w:hAnsi="Arial" w:cs="Arial"/>
          <w:sz w:val="23"/>
          <w:szCs w:val="23"/>
        </w:rPr>
      </w:pPr>
      <w:r w:rsidRPr="00436442">
        <w:rPr>
          <w:rFonts w:ascii="Arial" w:hAnsi="Arial" w:cs="Arial"/>
          <w:sz w:val="23"/>
          <w:szCs w:val="23"/>
        </w:rPr>
        <w:lastRenderedPageBreak/>
        <w:t xml:space="preserve">The salary threshold is currently too high and is a barrier to many occupations in our key sectors and in some local areas.  </w:t>
      </w:r>
      <w:r w:rsidR="00C406BF" w:rsidRPr="00436442">
        <w:rPr>
          <w:rFonts w:ascii="Arial" w:hAnsi="Arial" w:cs="Arial"/>
          <w:sz w:val="23"/>
          <w:szCs w:val="23"/>
        </w:rPr>
        <w:t>T</w:t>
      </w:r>
      <w:r w:rsidRPr="00436442">
        <w:rPr>
          <w:rFonts w:ascii="Arial" w:hAnsi="Arial" w:cs="Arial"/>
          <w:sz w:val="23"/>
          <w:szCs w:val="23"/>
        </w:rPr>
        <w:t>here should be more focus on the value and need of the job, rather than</w:t>
      </w:r>
      <w:r w:rsidR="00BD69E8" w:rsidRPr="00436442">
        <w:rPr>
          <w:rFonts w:ascii="Arial" w:hAnsi="Arial" w:cs="Arial"/>
          <w:sz w:val="23"/>
          <w:szCs w:val="23"/>
        </w:rPr>
        <w:t xml:space="preserve"> on</w:t>
      </w:r>
      <w:r w:rsidRPr="00436442">
        <w:rPr>
          <w:rFonts w:ascii="Arial" w:hAnsi="Arial" w:cs="Arial"/>
          <w:sz w:val="23"/>
          <w:szCs w:val="23"/>
        </w:rPr>
        <w:t xml:space="preserve"> an arbitrary salary threshold.  </w:t>
      </w:r>
    </w:p>
    <w:p w14:paraId="301B7F27" w14:textId="36408ABD" w:rsidR="00C406BF" w:rsidRPr="00436442" w:rsidRDefault="00C406BF" w:rsidP="00C406BF">
      <w:pPr>
        <w:pStyle w:val="ListParagraph"/>
        <w:numPr>
          <w:ilvl w:val="0"/>
          <w:numId w:val="14"/>
        </w:numPr>
        <w:ind w:right="360"/>
        <w:rPr>
          <w:rFonts w:ascii="Arial" w:hAnsi="Arial" w:cs="Arial"/>
          <w:sz w:val="23"/>
          <w:szCs w:val="23"/>
        </w:rPr>
      </w:pPr>
      <w:r w:rsidRPr="00436442">
        <w:rPr>
          <w:rFonts w:ascii="Arial" w:hAnsi="Arial" w:cs="Arial"/>
          <w:sz w:val="23"/>
          <w:szCs w:val="23"/>
        </w:rPr>
        <w:t>T</w:t>
      </w:r>
      <w:r w:rsidRPr="00436442">
        <w:rPr>
          <w:rFonts w:ascii="Arial" w:eastAsia="Times New Roman" w:hAnsi="Arial" w:cs="Arial"/>
          <w:sz w:val="23"/>
          <w:szCs w:val="23"/>
          <w:lang w:eastAsia="en-GB"/>
        </w:rPr>
        <w:t xml:space="preserve">here should be no minimum salary, other than the Scottish Local Government Living Wage. </w:t>
      </w:r>
    </w:p>
    <w:p w14:paraId="65174462" w14:textId="1D71F438" w:rsidR="00C406BF" w:rsidRPr="00436442" w:rsidRDefault="00C406BF" w:rsidP="00C406BF">
      <w:pPr>
        <w:pStyle w:val="ListParagraph"/>
        <w:numPr>
          <w:ilvl w:val="0"/>
          <w:numId w:val="14"/>
        </w:numPr>
        <w:ind w:right="360"/>
        <w:rPr>
          <w:rFonts w:ascii="Arial" w:hAnsi="Arial" w:cs="Arial"/>
          <w:sz w:val="23"/>
          <w:szCs w:val="23"/>
        </w:rPr>
      </w:pPr>
      <w:r w:rsidRPr="00436442">
        <w:rPr>
          <w:rFonts w:ascii="Arial" w:eastAsia="Times New Roman" w:hAnsi="Arial" w:cs="Arial"/>
          <w:sz w:val="23"/>
          <w:szCs w:val="23"/>
          <w:lang w:eastAsia="en-GB"/>
        </w:rPr>
        <w:t>We support the position of awarding points based on parts of the country in need of increased population.</w:t>
      </w:r>
    </w:p>
    <w:p w14:paraId="03BAF083" w14:textId="1044C1C6" w:rsidR="00F403D6" w:rsidRPr="00436442" w:rsidRDefault="00F403D6" w:rsidP="00F403D6">
      <w:pPr>
        <w:pStyle w:val="ListParagraph"/>
        <w:numPr>
          <w:ilvl w:val="0"/>
          <w:numId w:val="14"/>
        </w:numPr>
        <w:ind w:right="360"/>
        <w:rPr>
          <w:rFonts w:ascii="Arial" w:hAnsi="Arial" w:cs="Arial"/>
          <w:sz w:val="23"/>
          <w:szCs w:val="23"/>
        </w:rPr>
      </w:pPr>
      <w:r w:rsidRPr="00436442">
        <w:rPr>
          <w:rFonts w:ascii="Arial" w:hAnsi="Arial" w:cs="Arial"/>
          <w:sz w:val="23"/>
          <w:szCs w:val="23"/>
        </w:rPr>
        <w:t xml:space="preserve">Scottish </w:t>
      </w:r>
      <w:r w:rsidR="00E17665" w:rsidRPr="00436442">
        <w:rPr>
          <w:rFonts w:ascii="Arial" w:hAnsi="Arial" w:cs="Arial"/>
          <w:sz w:val="23"/>
          <w:szCs w:val="23"/>
        </w:rPr>
        <w:t>l</w:t>
      </w:r>
      <w:r w:rsidRPr="00436442">
        <w:rPr>
          <w:rFonts w:ascii="Arial" w:hAnsi="Arial" w:cs="Arial"/>
          <w:sz w:val="23"/>
          <w:szCs w:val="23"/>
        </w:rPr>
        <w:t xml:space="preserve">ocal </w:t>
      </w:r>
      <w:r w:rsidR="00E17665" w:rsidRPr="00436442">
        <w:rPr>
          <w:rFonts w:ascii="Arial" w:hAnsi="Arial" w:cs="Arial"/>
          <w:sz w:val="23"/>
          <w:szCs w:val="23"/>
        </w:rPr>
        <w:t>a</w:t>
      </w:r>
      <w:r w:rsidRPr="00436442">
        <w:rPr>
          <w:rFonts w:ascii="Arial" w:hAnsi="Arial" w:cs="Arial"/>
          <w:sz w:val="23"/>
          <w:szCs w:val="23"/>
        </w:rPr>
        <w:t>uthorities must have a greater role in monitoring</w:t>
      </w:r>
      <w:r w:rsidR="00B12F3C" w:rsidRPr="00436442">
        <w:rPr>
          <w:rFonts w:ascii="Arial" w:hAnsi="Arial" w:cs="Arial"/>
          <w:sz w:val="23"/>
          <w:szCs w:val="23"/>
        </w:rPr>
        <w:t xml:space="preserve"> and addressing</w:t>
      </w:r>
      <w:r w:rsidRPr="00436442">
        <w:rPr>
          <w:rFonts w:ascii="Arial" w:hAnsi="Arial" w:cs="Arial"/>
          <w:sz w:val="23"/>
          <w:szCs w:val="23"/>
        </w:rPr>
        <w:t xml:space="preserve"> our immediate and projected labour shortages.</w:t>
      </w:r>
    </w:p>
    <w:p w14:paraId="24409CFE" w14:textId="77777777" w:rsidR="000D02CB" w:rsidRPr="00436442" w:rsidRDefault="000D02CB" w:rsidP="006368CB">
      <w:pPr>
        <w:rPr>
          <w:rFonts w:ascii="Arial" w:hAnsi="Arial" w:cs="Arial"/>
          <w:sz w:val="23"/>
          <w:szCs w:val="23"/>
        </w:rPr>
      </w:pPr>
    </w:p>
    <w:p w14:paraId="3EB92D83" w14:textId="41C41312" w:rsidR="006368CB" w:rsidRPr="00436442" w:rsidRDefault="006368CB" w:rsidP="006368CB">
      <w:pPr>
        <w:rPr>
          <w:rFonts w:ascii="Arial" w:hAnsi="Arial" w:cs="Arial"/>
          <w:b/>
          <w:bCs/>
          <w:sz w:val="23"/>
          <w:szCs w:val="23"/>
        </w:rPr>
      </w:pPr>
      <w:r w:rsidRPr="00436442">
        <w:rPr>
          <w:rFonts w:ascii="Arial" w:hAnsi="Arial" w:cs="Arial"/>
          <w:b/>
          <w:bCs/>
          <w:sz w:val="23"/>
          <w:szCs w:val="23"/>
        </w:rPr>
        <w:t xml:space="preserve">Potential impact of current salary threshold </w:t>
      </w:r>
    </w:p>
    <w:p w14:paraId="1A1C6D16" w14:textId="77777777" w:rsidR="001A5ECB" w:rsidRPr="00436442" w:rsidRDefault="001A5ECB" w:rsidP="006368CB">
      <w:pPr>
        <w:rPr>
          <w:rFonts w:ascii="Arial" w:hAnsi="Arial" w:cs="Arial"/>
          <w:b/>
          <w:bCs/>
          <w:sz w:val="23"/>
          <w:szCs w:val="23"/>
        </w:rPr>
      </w:pPr>
    </w:p>
    <w:p w14:paraId="02DDB7F6" w14:textId="657DE0D3" w:rsidR="005B7BE2" w:rsidRPr="00436442" w:rsidRDefault="006368CB" w:rsidP="006368CB">
      <w:pPr>
        <w:pStyle w:val="ListParagraph"/>
        <w:numPr>
          <w:ilvl w:val="0"/>
          <w:numId w:val="2"/>
        </w:numPr>
        <w:rPr>
          <w:rFonts w:ascii="Arial" w:hAnsi="Arial" w:cs="Arial"/>
          <w:sz w:val="23"/>
          <w:szCs w:val="23"/>
        </w:rPr>
      </w:pPr>
      <w:r w:rsidRPr="00436442">
        <w:rPr>
          <w:rFonts w:ascii="Arial" w:hAnsi="Arial" w:cs="Arial"/>
          <w:sz w:val="23"/>
          <w:szCs w:val="23"/>
        </w:rPr>
        <w:t>COSLA has consistently stated that the salary threshold has been set too high and is a barrier to many occupation</w:t>
      </w:r>
      <w:r w:rsidR="005B7BE2" w:rsidRPr="00436442">
        <w:rPr>
          <w:rFonts w:ascii="Arial" w:hAnsi="Arial" w:cs="Arial"/>
          <w:sz w:val="23"/>
          <w:szCs w:val="23"/>
        </w:rPr>
        <w:t>s</w:t>
      </w:r>
      <w:r w:rsidRPr="00436442">
        <w:rPr>
          <w:rFonts w:ascii="Arial" w:hAnsi="Arial" w:cs="Arial"/>
          <w:sz w:val="23"/>
          <w:szCs w:val="23"/>
        </w:rPr>
        <w:t xml:space="preserve"> in our key sectors and in some local areas.  We suggest </w:t>
      </w:r>
      <w:r w:rsidR="004B74E2" w:rsidRPr="00436442">
        <w:rPr>
          <w:rFonts w:ascii="Arial" w:hAnsi="Arial" w:cs="Arial"/>
          <w:sz w:val="23"/>
          <w:szCs w:val="23"/>
        </w:rPr>
        <w:t xml:space="preserve">that </w:t>
      </w:r>
      <w:r w:rsidRPr="00436442">
        <w:rPr>
          <w:rFonts w:ascii="Arial" w:hAnsi="Arial" w:cs="Arial"/>
          <w:sz w:val="23"/>
          <w:szCs w:val="23"/>
        </w:rPr>
        <w:t xml:space="preserve">there should be more focus on </w:t>
      </w:r>
      <w:r w:rsidR="005B7BE2" w:rsidRPr="00436442">
        <w:rPr>
          <w:rFonts w:ascii="Arial" w:hAnsi="Arial" w:cs="Arial"/>
          <w:sz w:val="23"/>
          <w:szCs w:val="23"/>
        </w:rPr>
        <w:t xml:space="preserve">the value and need of the job, rather than </w:t>
      </w:r>
      <w:r w:rsidR="004B74E2" w:rsidRPr="00436442">
        <w:rPr>
          <w:rFonts w:ascii="Arial" w:hAnsi="Arial" w:cs="Arial"/>
          <w:sz w:val="23"/>
          <w:szCs w:val="23"/>
        </w:rPr>
        <w:t xml:space="preserve">on </w:t>
      </w:r>
      <w:r w:rsidR="005B7BE2" w:rsidRPr="00436442">
        <w:rPr>
          <w:rFonts w:ascii="Arial" w:hAnsi="Arial" w:cs="Arial"/>
          <w:sz w:val="23"/>
          <w:szCs w:val="23"/>
        </w:rPr>
        <w:t>an arbitrary salary threshold.</w:t>
      </w:r>
    </w:p>
    <w:p w14:paraId="1AD4B19E" w14:textId="77777777" w:rsidR="00C31778" w:rsidRPr="00436442" w:rsidRDefault="00C31778" w:rsidP="00C31778">
      <w:pPr>
        <w:pStyle w:val="ListParagraph"/>
        <w:ind w:left="360"/>
        <w:rPr>
          <w:rFonts w:ascii="Arial" w:hAnsi="Arial" w:cs="Arial"/>
          <w:sz w:val="23"/>
          <w:szCs w:val="23"/>
        </w:rPr>
      </w:pPr>
    </w:p>
    <w:p w14:paraId="2FE11D05" w14:textId="1A41024D" w:rsidR="00006FA5" w:rsidRPr="00436442" w:rsidRDefault="00A522A3" w:rsidP="005E5705">
      <w:pPr>
        <w:pStyle w:val="ListParagraph"/>
        <w:numPr>
          <w:ilvl w:val="0"/>
          <w:numId w:val="2"/>
        </w:numPr>
        <w:rPr>
          <w:rFonts w:ascii="Arial" w:hAnsi="Arial" w:cs="Arial"/>
          <w:sz w:val="23"/>
          <w:szCs w:val="23"/>
        </w:rPr>
      </w:pPr>
      <w:r w:rsidRPr="00436442">
        <w:rPr>
          <w:rFonts w:ascii="Arial" w:eastAsia="Times New Roman" w:hAnsi="Arial" w:cs="Arial"/>
          <w:sz w:val="23"/>
          <w:szCs w:val="23"/>
          <w:lang w:eastAsia="en-GB"/>
        </w:rPr>
        <w:t xml:space="preserve">The overwhelming response from </w:t>
      </w:r>
      <w:r w:rsidR="009041A5" w:rsidRPr="00436442">
        <w:rPr>
          <w:rFonts w:ascii="Arial" w:eastAsia="Times New Roman" w:hAnsi="Arial" w:cs="Arial"/>
          <w:sz w:val="23"/>
          <w:szCs w:val="23"/>
          <w:lang w:eastAsia="en-GB"/>
        </w:rPr>
        <w:t xml:space="preserve">our member </w:t>
      </w:r>
      <w:r w:rsidRPr="00436442">
        <w:rPr>
          <w:rFonts w:ascii="Arial" w:eastAsia="Times New Roman" w:hAnsi="Arial" w:cs="Arial"/>
          <w:sz w:val="23"/>
          <w:szCs w:val="23"/>
          <w:lang w:eastAsia="en-GB"/>
        </w:rPr>
        <w:t xml:space="preserve">councils </w:t>
      </w:r>
      <w:r w:rsidR="009041A5" w:rsidRPr="00436442">
        <w:rPr>
          <w:rFonts w:ascii="Arial" w:eastAsia="Times New Roman" w:hAnsi="Arial" w:cs="Arial"/>
          <w:sz w:val="23"/>
          <w:szCs w:val="23"/>
          <w:lang w:eastAsia="en-GB"/>
        </w:rPr>
        <w:t xml:space="preserve">was negative </w:t>
      </w:r>
      <w:r w:rsidRPr="00436442">
        <w:rPr>
          <w:rFonts w:ascii="Arial" w:eastAsia="Times New Roman" w:hAnsi="Arial" w:cs="Arial"/>
          <w:sz w:val="23"/>
          <w:szCs w:val="23"/>
          <w:lang w:eastAsia="en-GB"/>
        </w:rPr>
        <w:t xml:space="preserve">regarding </w:t>
      </w:r>
      <w:r w:rsidR="009041A5" w:rsidRPr="00436442">
        <w:rPr>
          <w:rFonts w:ascii="Arial" w:eastAsia="Times New Roman" w:hAnsi="Arial" w:cs="Arial"/>
          <w:sz w:val="23"/>
          <w:szCs w:val="23"/>
          <w:lang w:eastAsia="en-GB"/>
        </w:rPr>
        <w:t xml:space="preserve">whether </w:t>
      </w:r>
      <w:r w:rsidRPr="00436442">
        <w:rPr>
          <w:rFonts w:ascii="Arial" w:eastAsia="Times New Roman" w:hAnsi="Arial" w:cs="Arial"/>
          <w:sz w:val="23"/>
          <w:szCs w:val="23"/>
          <w:lang w:eastAsia="en-GB"/>
        </w:rPr>
        <w:t>there should there be a minimum salary threshold.  The majority of responses received stated that there should be no minimum salary, other than the Scottish Local Government Living Wage.</w:t>
      </w:r>
    </w:p>
    <w:p w14:paraId="2F0A0EA8" w14:textId="77777777" w:rsidR="00006FA5" w:rsidRPr="00436442" w:rsidRDefault="00006FA5" w:rsidP="00006FA5">
      <w:pPr>
        <w:rPr>
          <w:rFonts w:ascii="Arial" w:hAnsi="Arial" w:cs="Arial"/>
          <w:sz w:val="23"/>
          <w:szCs w:val="23"/>
        </w:rPr>
      </w:pPr>
    </w:p>
    <w:p w14:paraId="79DD2397" w14:textId="35422F7E" w:rsidR="00006FA5" w:rsidRPr="00436442" w:rsidRDefault="00EA5D0C" w:rsidP="005E5705">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Analysis carried out by Scotland’s Expert Advisory Group on Migration (an independent group of academics) shows how salary threshold will significantly reduce EEA migration to Scotland, will have a detrimental effect on some sectors (e.g. social care) and geographical areas, and impact on</w:t>
      </w:r>
      <w:r w:rsidR="00AA60B2" w:rsidRPr="00436442">
        <w:rPr>
          <w:rFonts w:ascii="Arial" w:hAnsi="Arial" w:cs="Arial"/>
          <w:sz w:val="23"/>
          <w:szCs w:val="23"/>
        </w:rPr>
        <w:t xml:space="preserve"> the</w:t>
      </w:r>
      <w:r w:rsidRPr="00436442">
        <w:rPr>
          <w:rFonts w:ascii="Arial" w:hAnsi="Arial" w:cs="Arial"/>
          <w:sz w:val="23"/>
          <w:szCs w:val="23"/>
        </w:rPr>
        <w:t xml:space="preserve"> age and gender profile of migrants.</w:t>
      </w:r>
      <w:r w:rsidRPr="00436442">
        <w:rPr>
          <w:rStyle w:val="FootnoteReference"/>
          <w:rFonts w:ascii="Arial" w:hAnsi="Arial" w:cs="Arial"/>
          <w:sz w:val="23"/>
          <w:szCs w:val="23"/>
        </w:rPr>
        <w:footnoteReference w:id="2"/>
      </w:r>
    </w:p>
    <w:p w14:paraId="53DDA704" w14:textId="77777777" w:rsidR="005E5705" w:rsidRPr="00436442" w:rsidRDefault="005E5705" w:rsidP="005E5705">
      <w:pPr>
        <w:pStyle w:val="ListParagraph"/>
        <w:ind w:left="360"/>
        <w:rPr>
          <w:rFonts w:ascii="Arial" w:hAnsi="Arial" w:cs="Arial"/>
          <w:sz w:val="23"/>
          <w:szCs w:val="23"/>
        </w:rPr>
      </w:pPr>
    </w:p>
    <w:p w14:paraId="30DD73F5" w14:textId="75CBB22D" w:rsidR="00003A60" w:rsidRPr="00436442" w:rsidRDefault="00003A60" w:rsidP="00003A60">
      <w:pPr>
        <w:pStyle w:val="ListParagraph"/>
        <w:numPr>
          <w:ilvl w:val="0"/>
          <w:numId w:val="2"/>
        </w:numPr>
        <w:rPr>
          <w:rFonts w:ascii="Arial" w:hAnsi="Arial" w:cs="Arial"/>
          <w:sz w:val="23"/>
          <w:szCs w:val="23"/>
        </w:rPr>
      </w:pPr>
      <w:r w:rsidRPr="00436442">
        <w:rPr>
          <w:rFonts w:ascii="Arial" w:hAnsi="Arial" w:cs="Arial"/>
          <w:sz w:val="23"/>
          <w:szCs w:val="23"/>
        </w:rPr>
        <w:t xml:space="preserve">We asked </w:t>
      </w:r>
      <w:r w:rsidR="001A5ECB" w:rsidRPr="00436442">
        <w:rPr>
          <w:rFonts w:ascii="Arial" w:hAnsi="Arial" w:cs="Arial"/>
          <w:sz w:val="23"/>
          <w:szCs w:val="23"/>
        </w:rPr>
        <w:t xml:space="preserve">our member authorities if </w:t>
      </w:r>
      <w:r w:rsidRPr="00436442">
        <w:rPr>
          <w:rFonts w:ascii="Arial" w:hAnsi="Arial" w:cs="Arial"/>
          <w:sz w:val="23"/>
          <w:szCs w:val="23"/>
        </w:rPr>
        <w:t xml:space="preserve">the current salary threshold </w:t>
      </w:r>
      <w:r w:rsidR="001A5ECB" w:rsidRPr="00436442">
        <w:rPr>
          <w:rFonts w:ascii="Arial" w:hAnsi="Arial" w:cs="Arial"/>
          <w:sz w:val="23"/>
          <w:szCs w:val="23"/>
        </w:rPr>
        <w:t>w</w:t>
      </w:r>
      <w:r w:rsidRPr="00436442">
        <w:rPr>
          <w:rFonts w:ascii="Arial" w:hAnsi="Arial" w:cs="Arial"/>
          <w:sz w:val="23"/>
          <w:szCs w:val="23"/>
        </w:rPr>
        <w:t xml:space="preserve">ould impact on council and local area workforce </w:t>
      </w:r>
      <w:r w:rsidR="009041A5" w:rsidRPr="00436442">
        <w:rPr>
          <w:rFonts w:ascii="Arial" w:hAnsi="Arial" w:cs="Arial"/>
          <w:sz w:val="23"/>
          <w:szCs w:val="23"/>
        </w:rPr>
        <w:t xml:space="preserve">/ </w:t>
      </w:r>
      <w:r w:rsidRPr="00436442">
        <w:rPr>
          <w:rFonts w:ascii="Arial" w:hAnsi="Arial" w:cs="Arial"/>
          <w:sz w:val="23"/>
          <w:szCs w:val="23"/>
        </w:rPr>
        <w:t xml:space="preserve">sectors, bearing in mind </w:t>
      </w:r>
      <w:r w:rsidR="005D0034" w:rsidRPr="00436442">
        <w:rPr>
          <w:rFonts w:ascii="Arial" w:hAnsi="Arial" w:cs="Arial"/>
          <w:sz w:val="23"/>
          <w:szCs w:val="23"/>
        </w:rPr>
        <w:t xml:space="preserve">that </w:t>
      </w:r>
      <w:r w:rsidRPr="00436442">
        <w:rPr>
          <w:rFonts w:ascii="Arial" w:hAnsi="Arial" w:cs="Arial"/>
          <w:sz w:val="23"/>
          <w:szCs w:val="23"/>
        </w:rPr>
        <w:t xml:space="preserve">the new system will apply to EEA citizens as well as those coming from outside the EEA. </w:t>
      </w:r>
    </w:p>
    <w:p w14:paraId="4C1C6EB3" w14:textId="77777777" w:rsidR="00006FA5" w:rsidRPr="00436442" w:rsidRDefault="00006FA5" w:rsidP="00006FA5">
      <w:pPr>
        <w:rPr>
          <w:rFonts w:ascii="Arial" w:hAnsi="Arial" w:cs="Arial"/>
          <w:sz w:val="23"/>
          <w:szCs w:val="23"/>
        </w:rPr>
      </w:pPr>
    </w:p>
    <w:p w14:paraId="0AE815F0" w14:textId="160B1356" w:rsidR="00E7259A" w:rsidRDefault="005B7BE2" w:rsidP="006368CB">
      <w:pPr>
        <w:pStyle w:val="ListParagraph"/>
        <w:numPr>
          <w:ilvl w:val="0"/>
          <w:numId w:val="2"/>
        </w:numPr>
        <w:rPr>
          <w:rFonts w:ascii="Arial" w:hAnsi="Arial" w:cs="Arial"/>
          <w:sz w:val="23"/>
          <w:szCs w:val="23"/>
        </w:rPr>
      </w:pPr>
      <w:r w:rsidRPr="00436442">
        <w:rPr>
          <w:rFonts w:ascii="Arial" w:hAnsi="Arial" w:cs="Arial"/>
          <w:sz w:val="23"/>
          <w:szCs w:val="23"/>
        </w:rPr>
        <w:t xml:space="preserve">Angus </w:t>
      </w:r>
      <w:r w:rsidR="001D26AD" w:rsidRPr="00436442">
        <w:rPr>
          <w:rFonts w:ascii="Arial" w:hAnsi="Arial" w:cs="Arial"/>
          <w:sz w:val="23"/>
          <w:szCs w:val="23"/>
        </w:rPr>
        <w:t xml:space="preserve">Council </w:t>
      </w:r>
      <w:r w:rsidR="00003A60" w:rsidRPr="00436442">
        <w:rPr>
          <w:rFonts w:ascii="Arial" w:hAnsi="Arial" w:cs="Arial"/>
          <w:sz w:val="23"/>
          <w:szCs w:val="23"/>
        </w:rPr>
        <w:t>has drawn on a report by Trade Organisation MAKE UK (the Manufacturers’ Organisation)</w:t>
      </w:r>
      <w:r w:rsidR="001A5ECB" w:rsidRPr="00436442">
        <w:rPr>
          <w:rFonts w:ascii="Arial" w:hAnsi="Arial" w:cs="Arial"/>
          <w:sz w:val="23"/>
          <w:szCs w:val="23"/>
        </w:rPr>
        <w:t xml:space="preserve"> to emphasise that 88% of employees working in manufacturing (excluding professional jobs such as senior engineers</w:t>
      </w:r>
      <w:r w:rsidR="00D9064C" w:rsidRPr="00436442">
        <w:rPr>
          <w:rFonts w:ascii="Arial" w:hAnsi="Arial" w:cs="Arial"/>
          <w:sz w:val="23"/>
          <w:szCs w:val="23"/>
        </w:rPr>
        <w:t xml:space="preserve">) </w:t>
      </w:r>
      <w:r w:rsidR="001A5ECB" w:rsidRPr="00436442">
        <w:rPr>
          <w:rFonts w:ascii="Arial" w:hAnsi="Arial" w:cs="Arial"/>
          <w:sz w:val="23"/>
          <w:szCs w:val="23"/>
        </w:rPr>
        <w:t>would not meet the £30,000.</w:t>
      </w:r>
      <w:r w:rsidR="00003A60" w:rsidRPr="00436442">
        <w:rPr>
          <w:rStyle w:val="FootnoteReference"/>
          <w:rFonts w:ascii="Arial" w:hAnsi="Arial" w:cs="Arial"/>
          <w:sz w:val="23"/>
          <w:szCs w:val="23"/>
        </w:rPr>
        <w:footnoteReference w:id="3"/>
      </w:r>
      <w:r w:rsidR="00003A60" w:rsidRPr="00436442">
        <w:rPr>
          <w:rFonts w:ascii="Arial" w:hAnsi="Arial" w:cs="Arial"/>
          <w:sz w:val="23"/>
          <w:szCs w:val="23"/>
        </w:rPr>
        <w:t xml:space="preserve">  </w:t>
      </w:r>
      <w:r w:rsidR="00633C93" w:rsidRPr="00436442">
        <w:rPr>
          <w:rFonts w:ascii="Arial" w:hAnsi="Arial" w:cs="Arial"/>
          <w:sz w:val="23"/>
          <w:szCs w:val="23"/>
        </w:rPr>
        <w:t xml:space="preserve">With a UK manufacturing workforce of 2.7 million and 11% of those currently EU nationals, it alarms employers that they would not be able to recruit these people </w:t>
      </w:r>
      <w:r w:rsidR="00CD60BE" w:rsidRPr="00436442">
        <w:rPr>
          <w:rFonts w:ascii="Arial" w:hAnsi="Arial" w:cs="Arial"/>
          <w:sz w:val="23"/>
          <w:szCs w:val="23"/>
        </w:rPr>
        <w:t>given that they</w:t>
      </w:r>
      <w:r w:rsidR="00633C93" w:rsidRPr="00436442">
        <w:rPr>
          <w:rFonts w:ascii="Arial" w:hAnsi="Arial" w:cs="Arial"/>
          <w:sz w:val="23"/>
          <w:szCs w:val="23"/>
        </w:rPr>
        <w:t xml:space="preserve"> make up a vital part of the manufacturing workforce.  Angus Council shares th</w:t>
      </w:r>
      <w:r w:rsidR="00D9064C" w:rsidRPr="00436442">
        <w:rPr>
          <w:rFonts w:ascii="Arial" w:hAnsi="Arial" w:cs="Arial"/>
          <w:sz w:val="23"/>
          <w:szCs w:val="23"/>
        </w:rPr>
        <w:t>is</w:t>
      </w:r>
      <w:r w:rsidR="00633C93" w:rsidRPr="00436442">
        <w:rPr>
          <w:rFonts w:ascii="Arial" w:hAnsi="Arial" w:cs="Arial"/>
          <w:sz w:val="23"/>
          <w:szCs w:val="23"/>
        </w:rPr>
        <w:t xml:space="preserve"> concern, especially in Angus where there is a high concentration of people working in Standard Occupation Classification groups 8-9, and also skilled trades (see table below).</w:t>
      </w:r>
    </w:p>
    <w:p w14:paraId="6D623DE4" w14:textId="57EA0AF2" w:rsidR="00633C93" w:rsidRPr="00E7259A" w:rsidRDefault="00E7259A" w:rsidP="00E7259A">
      <w:pPr>
        <w:rPr>
          <w:rFonts w:ascii="Arial" w:hAnsi="Arial" w:cs="Arial"/>
          <w:sz w:val="23"/>
          <w:szCs w:val="23"/>
        </w:rPr>
      </w:pPr>
      <w:r>
        <w:rPr>
          <w:rFonts w:ascii="Arial" w:hAnsi="Arial" w:cs="Arial"/>
          <w:sz w:val="23"/>
          <w:szCs w:val="23"/>
        </w:rPr>
        <w:br w:type="page"/>
      </w:r>
    </w:p>
    <w:p w14:paraId="3A879960" w14:textId="77777777" w:rsidR="00B1067A" w:rsidRPr="00436442" w:rsidRDefault="00B1067A" w:rsidP="00921F8C">
      <w:pPr>
        <w:ind w:left="360"/>
        <w:rPr>
          <w:rFonts w:ascii="Arial" w:hAnsi="Arial" w:cs="Arial"/>
          <w:sz w:val="21"/>
          <w:szCs w:val="21"/>
        </w:rPr>
      </w:pPr>
    </w:p>
    <w:tbl>
      <w:tblPr>
        <w:tblStyle w:val="TableGrid"/>
        <w:tblW w:w="0" w:type="auto"/>
        <w:tblInd w:w="720" w:type="dxa"/>
        <w:tblLook w:val="04A0" w:firstRow="1" w:lastRow="0" w:firstColumn="1" w:lastColumn="0" w:noHBand="0" w:noVBand="1"/>
      </w:tblPr>
      <w:tblGrid>
        <w:gridCol w:w="2961"/>
        <w:gridCol w:w="1559"/>
        <w:gridCol w:w="1276"/>
        <w:gridCol w:w="1559"/>
        <w:gridCol w:w="935"/>
      </w:tblGrid>
      <w:tr w:rsidR="00633C93" w:rsidRPr="00436442" w14:paraId="1CEF6AF9" w14:textId="77777777" w:rsidTr="00921F8C">
        <w:tc>
          <w:tcPr>
            <w:tcW w:w="8290" w:type="dxa"/>
            <w:gridSpan w:val="5"/>
          </w:tcPr>
          <w:p w14:paraId="6C448D58" w14:textId="61E90B4F" w:rsidR="00633C93" w:rsidRPr="00436442" w:rsidRDefault="00633C93" w:rsidP="00633C93">
            <w:pPr>
              <w:pStyle w:val="ListParagraph"/>
              <w:ind w:left="0"/>
              <w:rPr>
                <w:rFonts w:ascii="Arial" w:hAnsi="Arial" w:cs="Arial"/>
                <w:b/>
                <w:bCs/>
                <w:sz w:val="21"/>
                <w:szCs w:val="21"/>
              </w:rPr>
            </w:pPr>
            <w:r w:rsidRPr="00436442">
              <w:rPr>
                <w:rFonts w:ascii="Arial" w:hAnsi="Arial" w:cs="Arial"/>
                <w:b/>
                <w:bCs/>
                <w:sz w:val="21"/>
                <w:szCs w:val="21"/>
              </w:rPr>
              <w:t>Employment by occupation (April 2018 – March 2019</w:t>
            </w:r>
            <w:r w:rsidR="00474A30">
              <w:rPr>
                <w:rFonts w:ascii="Arial" w:hAnsi="Arial" w:cs="Arial"/>
                <w:b/>
                <w:bCs/>
                <w:sz w:val="21"/>
                <w:szCs w:val="21"/>
              </w:rPr>
              <w:t>)</w:t>
            </w:r>
            <w:bookmarkStart w:id="0" w:name="_GoBack"/>
            <w:bookmarkEnd w:id="0"/>
          </w:p>
        </w:tc>
      </w:tr>
      <w:tr w:rsidR="00633C93" w:rsidRPr="00436442" w14:paraId="45D4EC15" w14:textId="77777777" w:rsidTr="007D2015">
        <w:tc>
          <w:tcPr>
            <w:tcW w:w="2961" w:type="dxa"/>
          </w:tcPr>
          <w:p w14:paraId="27E79A04" w14:textId="77777777" w:rsidR="00633C93" w:rsidRPr="00436442" w:rsidRDefault="00633C93" w:rsidP="00633C93">
            <w:pPr>
              <w:pStyle w:val="ListParagraph"/>
              <w:ind w:left="0"/>
              <w:rPr>
                <w:rFonts w:ascii="Arial" w:hAnsi="Arial" w:cs="Arial"/>
                <w:sz w:val="21"/>
                <w:szCs w:val="21"/>
              </w:rPr>
            </w:pPr>
          </w:p>
        </w:tc>
        <w:tc>
          <w:tcPr>
            <w:tcW w:w="1559" w:type="dxa"/>
          </w:tcPr>
          <w:p w14:paraId="7B0C50D5" w14:textId="1B91FB30" w:rsidR="00633C93" w:rsidRPr="00436442" w:rsidRDefault="00633C93" w:rsidP="00633C93">
            <w:pPr>
              <w:pStyle w:val="ListParagraph"/>
              <w:ind w:left="0"/>
              <w:rPr>
                <w:rFonts w:ascii="Arial" w:hAnsi="Arial" w:cs="Arial"/>
                <w:sz w:val="21"/>
                <w:szCs w:val="21"/>
              </w:rPr>
            </w:pPr>
            <w:r w:rsidRPr="00436442">
              <w:rPr>
                <w:rFonts w:ascii="Arial" w:hAnsi="Arial" w:cs="Arial"/>
                <w:sz w:val="21"/>
                <w:szCs w:val="21"/>
              </w:rPr>
              <w:t>Angus (no)</w:t>
            </w:r>
          </w:p>
        </w:tc>
        <w:tc>
          <w:tcPr>
            <w:tcW w:w="1276" w:type="dxa"/>
          </w:tcPr>
          <w:p w14:paraId="2286033A" w14:textId="4A4CB2F9" w:rsidR="00633C93" w:rsidRPr="00436442" w:rsidRDefault="00633C93" w:rsidP="00633C93">
            <w:pPr>
              <w:pStyle w:val="ListParagraph"/>
              <w:ind w:left="0"/>
              <w:rPr>
                <w:rFonts w:ascii="Arial" w:hAnsi="Arial" w:cs="Arial"/>
                <w:sz w:val="21"/>
                <w:szCs w:val="21"/>
              </w:rPr>
            </w:pPr>
            <w:r w:rsidRPr="00436442">
              <w:rPr>
                <w:rFonts w:ascii="Arial" w:hAnsi="Arial" w:cs="Arial"/>
                <w:sz w:val="21"/>
                <w:szCs w:val="21"/>
              </w:rPr>
              <w:t>Angus (%)</w:t>
            </w:r>
          </w:p>
        </w:tc>
        <w:tc>
          <w:tcPr>
            <w:tcW w:w="1559" w:type="dxa"/>
          </w:tcPr>
          <w:p w14:paraId="0A3687B0" w14:textId="787336DF" w:rsidR="00633C93" w:rsidRPr="00436442" w:rsidRDefault="00633C93" w:rsidP="00633C93">
            <w:pPr>
              <w:pStyle w:val="ListParagraph"/>
              <w:ind w:left="0"/>
              <w:rPr>
                <w:rFonts w:ascii="Arial" w:hAnsi="Arial" w:cs="Arial"/>
                <w:sz w:val="21"/>
                <w:szCs w:val="21"/>
              </w:rPr>
            </w:pPr>
            <w:r w:rsidRPr="00436442">
              <w:rPr>
                <w:rFonts w:ascii="Arial" w:hAnsi="Arial" w:cs="Arial"/>
                <w:sz w:val="21"/>
                <w:szCs w:val="21"/>
              </w:rPr>
              <w:t>Scotland (%)</w:t>
            </w:r>
          </w:p>
        </w:tc>
        <w:tc>
          <w:tcPr>
            <w:tcW w:w="935" w:type="dxa"/>
          </w:tcPr>
          <w:p w14:paraId="69002694" w14:textId="2D24933B" w:rsidR="00633C93" w:rsidRPr="00436442" w:rsidRDefault="00633C93" w:rsidP="00633C93">
            <w:pPr>
              <w:pStyle w:val="ListParagraph"/>
              <w:ind w:left="0"/>
              <w:rPr>
                <w:rFonts w:ascii="Arial" w:hAnsi="Arial" w:cs="Arial"/>
                <w:sz w:val="21"/>
                <w:szCs w:val="21"/>
              </w:rPr>
            </w:pPr>
            <w:r w:rsidRPr="00436442">
              <w:rPr>
                <w:rFonts w:ascii="Arial" w:hAnsi="Arial" w:cs="Arial"/>
                <w:sz w:val="21"/>
                <w:szCs w:val="21"/>
              </w:rPr>
              <w:t>GB (%)</w:t>
            </w:r>
          </w:p>
        </w:tc>
      </w:tr>
      <w:tr w:rsidR="00633C93" w:rsidRPr="00436442" w14:paraId="250202B9" w14:textId="77777777" w:rsidTr="007D2015">
        <w:tc>
          <w:tcPr>
            <w:tcW w:w="2961" w:type="dxa"/>
          </w:tcPr>
          <w:p w14:paraId="1471C630" w14:textId="4E1A9213" w:rsidR="00633C93" w:rsidRPr="00436442" w:rsidRDefault="00633C93" w:rsidP="00633C93">
            <w:pPr>
              <w:pStyle w:val="ListParagraph"/>
              <w:ind w:left="0"/>
              <w:rPr>
                <w:rFonts w:ascii="Arial" w:hAnsi="Arial" w:cs="Arial"/>
                <w:b/>
                <w:bCs/>
                <w:sz w:val="21"/>
                <w:szCs w:val="21"/>
              </w:rPr>
            </w:pPr>
            <w:r w:rsidRPr="00436442">
              <w:rPr>
                <w:rFonts w:ascii="Arial" w:hAnsi="Arial" w:cs="Arial"/>
                <w:b/>
                <w:bCs/>
                <w:sz w:val="21"/>
                <w:szCs w:val="21"/>
              </w:rPr>
              <w:t>Soc 2010 Major Group</w:t>
            </w:r>
            <w:r w:rsidR="007D2015" w:rsidRPr="00436442">
              <w:rPr>
                <w:rFonts w:ascii="Arial" w:hAnsi="Arial" w:cs="Arial"/>
                <w:b/>
                <w:bCs/>
                <w:sz w:val="21"/>
                <w:szCs w:val="21"/>
              </w:rPr>
              <w:t xml:space="preserve"> 1-3</w:t>
            </w:r>
          </w:p>
        </w:tc>
        <w:tc>
          <w:tcPr>
            <w:tcW w:w="1559" w:type="dxa"/>
          </w:tcPr>
          <w:p w14:paraId="6BCCC9C5" w14:textId="31F4C4D0" w:rsidR="00633C93" w:rsidRPr="00436442" w:rsidRDefault="00633C93" w:rsidP="00633C93">
            <w:pPr>
              <w:pStyle w:val="ListParagraph"/>
              <w:ind w:left="0"/>
              <w:rPr>
                <w:rFonts w:ascii="Arial" w:hAnsi="Arial" w:cs="Arial"/>
                <w:b/>
                <w:bCs/>
                <w:sz w:val="21"/>
                <w:szCs w:val="21"/>
              </w:rPr>
            </w:pPr>
            <w:r w:rsidRPr="00436442">
              <w:rPr>
                <w:rFonts w:ascii="Arial" w:hAnsi="Arial" w:cs="Arial"/>
                <w:b/>
                <w:bCs/>
                <w:sz w:val="21"/>
                <w:szCs w:val="21"/>
              </w:rPr>
              <w:t>19,700</w:t>
            </w:r>
          </w:p>
        </w:tc>
        <w:tc>
          <w:tcPr>
            <w:tcW w:w="1276" w:type="dxa"/>
          </w:tcPr>
          <w:p w14:paraId="2A657C76" w14:textId="2EF6CB96" w:rsidR="00633C93" w:rsidRPr="00436442" w:rsidRDefault="007D2015" w:rsidP="00633C93">
            <w:pPr>
              <w:pStyle w:val="ListParagraph"/>
              <w:ind w:left="0"/>
              <w:rPr>
                <w:rFonts w:ascii="Arial" w:hAnsi="Arial" w:cs="Arial"/>
                <w:b/>
                <w:bCs/>
                <w:sz w:val="21"/>
                <w:szCs w:val="21"/>
              </w:rPr>
            </w:pPr>
            <w:r w:rsidRPr="00436442">
              <w:rPr>
                <w:rFonts w:ascii="Arial" w:hAnsi="Arial" w:cs="Arial"/>
                <w:b/>
                <w:bCs/>
                <w:sz w:val="21"/>
                <w:szCs w:val="21"/>
              </w:rPr>
              <w:t>35.7</w:t>
            </w:r>
          </w:p>
        </w:tc>
        <w:tc>
          <w:tcPr>
            <w:tcW w:w="1559" w:type="dxa"/>
          </w:tcPr>
          <w:p w14:paraId="126471F1" w14:textId="6378B3FB" w:rsidR="00633C93" w:rsidRPr="00436442" w:rsidRDefault="007D2015" w:rsidP="00633C93">
            <w:pPr>
              <w:pStyle w:val="ListParagraph"/>
              <w:ind w:left="0"/>
              <w:rPr>
                <w:rFonts w:ascii="Arial" w:hAnsi="Arial" w:cs="Arial"/>
                <w:b/>
                <w:bCs/>
                <w:sz w:val="21"/>
                <w:szCs w:val="21"/>
              </w:rPr>
            </w:pPr>
            <w:r w:rsidRPr="00436442">
              <w:rPr>
                <w:rFonts w:ascii="Arial" w:hAnsi="Arial" w:cs="Arial"/>
                <w:b/>
                <w:bCs/>
                <w:sz w:val="21"/>
                <w:szCs w:val="21"/>
              </w:rPr>
              <w:t>43.1</w:t>
            </w:r>
          </w:p>
        </w:tc>
        <w:tc>
          <w:tcPr>
            <w:tcW w:w="935" w:type="dxa"/>
          </w:tcPr>
          <w:p w14:paraId="3273F16F" w14:textId="2770DDC2" w:rsidR="00633C93" w:rsidRPr="00436442" w:rsidRDefault="007D2015" w:rsidP="00633C93">
            <w:pPr>
              <w:pStyle w:val="ListParagraph"/>
              <w:ind w:left="0"/>
              <w:rPr>
                <w:rFonts w:ascii="Arial" w:hAnsi="Arial" w:cs="Arial"/>
                <w:b/>
                <w:bCs/>
                <w:sz w:val="21"/>
                <w:szCs w:val="21"/>
              </w:rPr>
            </w:pPr>
            <w:r w:rsidRPr="00436442">
              <w:rPr>
                <w:rFonts w:ascii="Arial" w:hAnsi="Arial" w:cs="Arial"/>
                <w:b/>
                <w:bCs/>
                <w:sz w:val="21"/>
                <w:szCs w:val="21"/>
              </w:rPr>
              <w:t>46.8</w:t>
            </w:r>
          </w:p>
        </w:tc>
      </w:tr>
      <w:tr w:rsidR="00633C93" w:rsidRPr="00436442" w14:paraId="55C3F85C" w14:textId="77777777" w:rsidTr="007D2015">
        <w:tc>
          <w:tcPr>
            <w:tcW w:w="2961" w:type="dxa"/>
          </w:tcPr>
          <w:p w14:paraId="592F2D0D" w14:textId="14167508" w:rsidR="00633C93" w:rsidRPr="00436442" w:rsidRDefault="007D2015" w:rsidP="007D2015">
            <w:pPr>
              <w:rPr>
                <w:rFonts w:ascii="Arial" w:hAnsi="Arial" w:cs="Arial"/>
                <w:sz w:val="21"/>
                <w:szCs w:val="21"/>
              </w:rPr>
            </w:pPr>
            <w:r w:rsidRPr="00436442">
              <w:rPr>
                <w:rFonts w:ascii="Arial" w:hAnsi="Arial" w:cs="Arial"/>
                <w:sz w:val="21"/>
                <w:szCs w:val="21"/>
              </w:rPr>
              <w:t>Managers, Directors &amp; Senior Officials</w:t>
            </w:r>
          </w:p>
        </w:tc>
        <w:tc>
          <w:tcPr>
            <w:tcW w:w="1559" w:type="dxa"/>
          </w:tcPr>
          <w:p w14:paraId="01E02E42" w14:textId="2EDC6E39"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4,500</w:t>
            </w:r>
          </w:p>
        </w:tc>
        <w:tc>
          <w:tcPr>
            <w:tcW w:w="1276" w:type="dxa"/>
          </w:tcPr>
          <w:p w14:paraId="105B47FC" w14:textId="6B81FE74"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8.1</w:t>
            </w:r>
          </w:p>
        </w:tc>
        <w:tc>
          <w:tcPr>
            <w:tcW w:w="1559" w:type="dxa"/>
          </w:tcPr>
          <w:p w14:paraId="18E55642" w14:textId="43408101"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8.8</w:t>
            </w:r>
          </w:p>
        </w:tc>
        <w:tc>
          <w:tcPr>
            <w:tcW w:w="935" w:type="dxa"/>
          </w:tcPr>
          <w:p w14:paraId="312AE5F0" w14:textId="7E545BCA"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10.9</w:t>
            </w:r>
          </w:p>
        </w:tc>
      </w:tr>
      <w:tr w:rsidR="00633C93" w:rsidRPr="00436442" w14:paraId="581460C4" w14:textId="77777777" w:rsidTr="007D2015">
        <w:tc>
          <w:tcPr>
            <w:tcW w:w="2961" w:type="dxa"/>
          </w:tcPr>
          <w:p w14:paraId="5A1BC8E6" w14:textId="1A28EB35" w:rsidR="00633C93" w:rsidRPr="00436442" w:rsidRDefault="007D2015" w:rsidP="007D2015">
            <w:pPr>
              <w:rPr>
                <w:rFonts w:ascii="Arial" w:hAnsi="Arial" w:cs="Arial"/>
                <w:sz w:val="21"/>
                <w:szCs w:val="21"/>
              </w:rPr>
            </w:pPr>
            <w:r w:rsidRPr="00436442">
              <w:rPr>
                <w:rFonts w:ascii="Arial" w:hAnsi="Arial" w:cs="Arial"/>
                <w:sz w:val="21"/>
                <w:szCs w:val="21"/>
              </w:rPr>
              <w:t>Prof Occupations</w:t>
            </w:r>
          </w:p>
        </w:tc>
        <w:tc>
          <w:tcPr>
            <w:tcW w:w="1559" w:type="dxa"/>
          </w:tcPr>
          <w:p w14:paraId="76F6F379" w14:textId="6B4839E3"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8,600</w:t>
            </w:r>
          </w:p>
        </w:tc>
        <w:tc>
          <w:tcPr>
            <w:tcW w:w="1276" w:type="dxa"/>
          </w:tcPr>
          <w:p w14:paraId="7AE75394" w14:textId="30A3219F"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15.6</w:t>
            </w:r>
          </w:p>
        </w:tc>
        <w:tc>
          <w:tcPr>
            <w:tcW w:w="1559" w:type="dxa"/>
          </w:tcPr>
          <w:p w14:paraId="177E40E4" w14:textId="09BFED00"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20.9</w:t>
            </w:r>
          </w:p>
        </w:tc>
        <w:tc>
          <w:tcPr>
            <w:tcW w:w="935" w:type="dxa"/>
          </w:tcPr>
          <w:p w14:paraId="618C2280" w14:textId="0F3C5FE3"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20.9</w:t>
            </w:r>
          </w:p>
        </w:tc>
      </w:tr>
      <w:tr w:rsidR="00633C93" w:rsidRPr="00436442" w14:paraId="28368F80" w14:textId="77777777" w:rsidTr="007D2015">
        <w:tc>
          <w:tcPr>
            <w:tcW w:w="2961" w:type="dxa"/>
          </w:tcPr>
          <w:p w14:paraId="20D117FF" w14:textId="5FDD7304" w:rsidR="00633C93" w:rsidRPr="00436442" w:rsidRDefault="007D2015" w:rsidP="007D2015">
            <w:pPr>
              <w:rPr>
                <w:rFonts w:ascii="Arial" w:hAnsi="Arial" w:cs="Arial"/>
                <w:sz w:val="21"/>
                <w:szCs w:val="21"/>
              </w:rPr>
            </w:pPr>
            <w:r w:rsidRPr="00436442">
              <w:rPr>
                <w:rFonts w:ascii="Arial" w:hAnsi="Arial" w:cs="Arial"/>
                <w:sz w:val="21"/>
                <w:szCs w:val="21"/>
              </w:rPr>
              <w:t>Assoc Prof &amp; Tech</w:t>
            </w:r>
          </w:p>
        </w:tc>
        <w:tc>
          <w:tcPr>
            <w:tcW w:w="1559" w:type="dxa"/>
          </w:tcPr>
          <w:p w14:paraId="10924E7B" w14:textId="608AF1ED"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6,700</w:t>
            </w:r>
          </w:p>
        </w:tc>
        <w:tc>
          <w:tcPr>
            <w:tcW w:w="1276" w:type="dxa"/>
          </w:tcPr>
          <w:p w14:paraId="57D98B0A" w14:textId="276021B3"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12.1</w:t>
            </w:r>
          </w:p>
        </w:tc>
        <w:tc>
          <w:tcPr>
            <w:tcW w:w="1559" w:type="dxa"/>
          </w:tcPr>
          <w:p w14:paraId="4FB7EDFA" w14:textId="6E45D93F"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13.3</w:t>
            </w:r>
          </w:p>
        </w:tc>
        <w:tc>
          <w:tcPr>
            <w:tcW w:w="935" w:type="dxa"/>
          </w:tcPr>
          <w:p w14:paraId="5E316683" w14:textId="7B56260A"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14.8</w:t>
            </w:r>
          </w:p>
        </w:tc>
      </w:tr>
      <w:tr w:rsidR="00633C93" w:rsidRPr="00436442" w14:paraId="6886A07F" w14:textId="77777777" w:rsidTr="007D2015">
        <w:tc>
          <w:tcPr>
            <w:tcW w:w="2961" w:type="dxa"/>
          </w:tcPr>
          <w:p w14:paraId="502BE828" w14:textId="44015F0B" w:rsidR="00633C93" w:rsidRPr="00436442" w:rsidRDefault="007D2015" w:rsidP="00633C93">
            <w:pPr>
              <w:pStyle w:val="ListParagraph"/>
              <w:ind w:left="0"/>
              <w:rPr>
                <w:rFonts w:ascii="Arial" w:hAnsi="Arial" w:cs="Arial"/>
                <w:b/>
                <w:bCs/>
                <w:sz w:val="21"/>
                <w:szCs w:val="21"/>
              </w:rPr>
            </w:pPr>
            <w:r w:rsidRPr="00436442">
              <w:rPr>
                <w:rFonts w:ascii="Arial" w:hAnsi="Arial" w:cs="Arial"/>
                <w:b/>
                <w:bCs/>
                <w:sz w:val="21"/>
                <w:szCs w:val="21"/>
              </w:rPr>
              <w:t>Soc 2010 Major Group 4-5</w:t>
            </w:r>
          </w:p>
        </w:tc>
        <w:tc>
          <w:tcPr>
            <w:tcW w:w="1559" w:type="dxa"/>
          </w:tcPr>
          <w:p w14:paraId="3F762B63" w14:textId="7C2F310B" w:rsidR="00633C93" w:rsidRPr="00436442" w:rsidRDefault="007D2015" w:rsidP="00633C93">
            <w:pPr>
              <w:pStyle w:val="ListParagraph"/>
              <w:ind w:left="0"/>
              <w:rPr>
                <w:rFonts w:ascii="Arial" w:hAnsi="Arial" w:cs="Arial"/>
                <w:b/>
                <w:bCs/>
                <w:sz w:val="21"/>
                <w:szCs w:val="21"/>
              </w:rPr>
            </w:pPr>
            <w:r w:rsidRPr="00436442">
              <w:rPr>
                <w:rFonts w:ascii="Arial" w:hAnsi="Arial" w:cs="Arial"/>
                <w:b/>
                <w:bCs/>
                <w:sz w:val="21"/>
                <w:szCs w:val="21"/>
              </w:rPr>
              <w:t>12,000</w:t>
            </w:r>
          </w:p>
        </w:tc>
        <w:tc>
          <w:tcPr>
            <w:tcW w:w="1276" w:type="dxa"/>
          </w:tcPr>
          <w:p w14:paraId="336B3B2C" w14:textId="38A9E797" w:rsidR="00633C93" w:rsidRPr="00436442" w:rsidRDefault="007D2015" w:rsidP="00633C93">
            <w:pPr>
              <w:pStyle w:val="ListParagraph"/>
              <w:ind w:left="0"/>
              <w:rPr>
                <w:rFonts w:ascii="Arial" w:hAnsi="Arial" w:cs="Arial"/>
                <w:b/>
                <w:bCs/>
                <w:sz w:val="21"/>
                <w:szCs w:val="21"/>
              </w:rPr>
            </w:pPr>
            <w:r w:rsidRPr="00436442">
              <w:rPr>
                <w:rFonts w:ascii="Arial" w:hAnsi="Arial" w:cs="Arial"/>
                <w:b/>
                <w:bCs/>
                <w:sz w:val="21"/>
                <w:szCs w:val="21"/>
              </w:rPr>
              <w:t>21.7</w:t>
            </w:r>
          </w:p>
        </w:tc>
        <w:tc>
          <w:tcPr>
            <w:tcW w:w="1559" w:type="dxa"/>
          </w:tcPr>
          <w:p w14:paraId="33C9E864" w14:textId="1B2B6692" w:rsidR="00633C93" w:rsidRPr="00436442" w:rsidRDefault="007D2015" w:rsidP="00633C93">
            <w:pPr>
              <w:pStyle w:val="ListParagraph"/>
              <w:ind w:left="0"/>
              <w:rPr>
                <w:rFonts w:ascii="Arial" w:hAnsi="Arial" w:cs="Arial"/>
                <w:b/>
                <w:bCs/>
                <w:sz w:val="21"/>
                <w:szCs w:val="21"/>
              </w:rPr>
            </w:pPr>
            <w:r w:rsidRPr="00436442">
              <w:rPr>
                <w:rFonts w:ascii="Arial" w:hAnsi="Arial" w:cs="Arial"/>
                <w:b/>
                <w:bCs/>
                <w:sz w:val="21"/>
                <w:szCs w:val="21"/>
              </w:rPr>
              <w:t>21.2</w:t>
            </w:r>
          </w:p>
        </w:tc>
        <w:tc>
          <w:tcPr>
            <w:tcW w:w="935" w:type="dxa"/>
          </w:tcPr>
          <w:p w14:paraId="63E52343" w14:textId="123CC4FC" w:rsidR="00633C93" w:rsidRPr="00436442" w:rsidRDefault="007D2015" w:rsidP="00633C93">
            <w:pPr>
              <w:pStyle w:val="ListParagraph"/>
              <w:ind w:left="0"/>
              <w:rPr>
                <w:rFonts w:ascii="Arial" w:hAnsi="Arial" w:cs="Arial"/>
                <w:b/>
                <w:bCs/>
                <w:sz w:val="21"/>
                <w:szCs w:val="21"/>
              </w:rPr>
            </w:pPr>
            <w:r w:rsidRPr="00436442">
              <w:rPr>
                <w:rFonts w:ascii="Arial" w:hAnsi="Arial" w:cs="Arial"/>
                <w:b/>
                <w:bCs/>
                <w:sz w:val="21"/>
                <w:szCs w:val="21"/>
              </w:rPr>
              <w:t>20.1</w:t>
            </w:r>
          </w:p>
        </w:tc>
      </w:tr>
      <w:tr w:rsidR="00633C93" w:rsidRPr="00436442" w14:paraId="28B4F1B5" w14:textId="77777777" w:rsidTr="007D2015">
        <w:tc>
          <w:tcPr>
            <w:tcW w:w="2961" w:type="dxa"/>
          </w:tcPr>
          <w:p w14:paraId="0FC81C34" w14:textId="2ED5D3F7"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A</w:t>
            </w:r>
            <w:r w:rsidR="00B1067A" w:rsidRPr="00436442">
              <w:rPr>
                <w:rFonts w:ascii="Arial" w:hAnsi="Arial" w:cs="Arial"/>
                <w:sz w:val="21"/>
                <w:szCs w:val="21"/>
              </w:rPr>
              <w:t>d</w:t>
            </w:r>
            <w:r w:rsidRPr="00436442">
              <w:rPr>
                <w:rFonts w:ascii="Arial" w:hAnsi="Arial" w:cs="Arial"/>
                <w:sz w:val="21"/>
                <w:szCs w:val="21"/>
              </w:rPr>
              <w:t xml:space="preserve">min &amp; Secretariat </w:t>
            </w:r>
          </w:p>
        </w:tc>
        <w:tc>
          <w:tcPr>
            <w:tcW w:w="1559" w:type="dxa"/>
          </w:tcPr>
          <w:p w14:paraId="0AEEB83B" w14:textId="6F5B9FB4"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4,900</w:t>
            </w:r>
          </w:p>
        </w:tc>
        <w:tc>
          <w:tcPr>
            <w:tcW w:w="1276" w:type="dxa"/>
          </w:tcPr>
          <w:p w14:paraId="031E71E6" w14:textId="404AE213"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8.9</w:t>
            </w:r>
          </w:p>
        </w:tc>
        <w:tc>
          <w:tcPr>
            <w:tcW w:w="1559" w:type="dxa"/>
          </w:tcPr>
          <w:p w14:paraId="42043C74" w14:textId="2B58FAB0"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10.1</w:t>
            </w:r>
          </w:p>
        </w:tc>
        <w:tc>
          <w:tcPr>
            <w:tcW w:w="935" w:type="dxa"/>
          </w:tcPr>
          <w:p w14:paraId="378FF4F3" w14:textId="2815ADEB" w:rsidR="00633C93" w:rsidRPr="00436442" w:rsidRDefault="007D2015" w:rsidP="00633C93">
            <w:pPr>
              <w:pStyle w:val="ListParagraph"/>
              <w:ind w:left="0"/>
              <w:rPr>
                <w:rFonts w:ascii="Arial" w:hAnsi="Arial" w:cs="Arial"/>
                <w:sz w:val="21"/>
                <w:szCs w:val="21"/>
              </w:rPr>
            </w:pPr>
            <w:r w:rsidRPr="00436442">
              <w:rPr>
                <w:rFonts w:ascii="Arial" w:hAnsi="Arial" w:cs="Arial"/>
                <w:sz w:val="21"/>
                <w:szCs w:val="21"/>
              </w:rPr>
              <w:t>9.9</w:t>
            </w:r>
          </w:p>
        </w:tc>
      </w:tr>
      <w:tr w:rsidR="00633C93" w:rsidRPr="00436442" w14:paraId="2C0C26F3" w14:textId="77777777" w:rsidTr="007D2015">
        <w:tc>
          <w:tcPr>
            <w:tcW w:w="2961" w:type="dxa"/>
          </w:tcPr>
          <w:p w14:paraId="40A98804" w14:textId="48FE861E"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Skilled trades</w:t>
            </w:r>
          </w:p>
        </w:tc>
        <w:tc>
          <w:tcPr>
            <w:tcW w:w="1559" w:type="dxa"/>
          </w:tcPr>
          <w:p w14:paraId="42D3E46F" w14:textId="38437C47"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7,100</w:t>
            </w:r>
          </w:p>
        </w:tc>
        <w:tc>
          <w:tcPr>
            <w:tcW w:w="1276" w:type="dxa"/>
          </w:tcPr>
          <w:p w14:paraId="55EF4E24" w14:textId="790F54E8"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12.8</w:t>
            </w:r>
          </w:p>
        </w:tc>
        <w:tc>
          <w:tcPr>
            <w:tcW w:w="1559" w:type="dxa"/>
          </w:tcPr>
          <w:p w14:paraId="5895906C" w14:textId="3F929BD4"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11.0</w:t>
            </w:r>
          </w:p>
        </w:tc>
        <w:tc>
          <w:tcPr>
            <w:tcW w:w="935" w:type="dxa"/>
          </w:tcPr>
          <w:p w14:paraId="7CD254CD" w14:textId="0B716685"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10.1</w:t>
            </w:r>
          </w:p>
        </w:tc>
      </w:tr>
      <w:tr w:rsidR="00633C93" w:rsidRPr="00436442" w14:paraId="27171B41" w14:textId="77777777" w:rsidTr="007D2015">
        <w:tc>
          <w:tcPr>
            <w:tcW w:w="2961" w:type="dxa"/>
          </w:tcPr>
          <w:p w14:paraId="693EF019" w14:textId="4BA89E07"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Soc 2010 Major Groups 6-7</w:t>
            </w:r>
          </w:p>
        </w:tc>
        <w:tc>
          <w:tcPr>
            <w:tcW w:w="1559" w:type="dxa"/>
          </w:tcPr>
          <w:p w14:paraId="2E8DD549" w14:textId="0A6BDAD8"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10,200</w:t>
            </w:r>
          </w:p>
        </w:tc>
        <w:tc>
          <w:tcPr>
            <w:tcW w:w="1276" w:type="dxa"/>
          </w:tcPr>
          <w:p w14:paraId="123C2212" w14:textId="766EB121"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18.5</w:t>
            </w:r>
          </w:p>
        </w:tc>
        <w:tc>
          <w:tcPr>
            <w:tcW w:w="1559" w:type="dxa"/>
          </w:tcPr>
          <w:p w14:paraId="27F3CA22" w14:textId="77ED8F87"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18.1</w:t>
            </w:r>
          </w:p>
        </w:tc>
        <w:tc>
          <w:tcPr>
            <w:tcW w:w="935" w:type="dxa"/>
          </w:tcPr>
          <w:p w14:paraId="4E9E39AA" w14:textId="1B1632ED"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16.5</w:t>
            </w:r>
          </w:p>
        </w:tc>
      </w:tr>
      <w:tr w:rsidR="00633C93" w:rsidRPr="00436442" w14:paraId="4EBB15B9" w14:textId="77777777" w:rsidTr="007D2015">
        <w:tc>
          <w:tcPr>
            <w:tcW w:w="2961" w:type="dxa"/>
          </w:tcPr>
          <w:p w14:paraId="3C7D670D" w14:textId="6AFA2063"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Caring, Leisure &amp; other occ</w:t>
            </w:r>
          </w:p>
        </w:tc>
        <w:tc>
          <w:tcPr>
            <w:tcW w:w="1559" w:type="dxa"/>
          </w:tcPr>
          <w:p w14:paraId="31E740C7" w14:textId="6E172BC0"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6,300</w:t>
            </w:r>
          </w:p>
        </w:tc>
        <w:tc>
          <w:tcPr>
            <w:tcW w:w="1276" w:type="dxa"/>
          </w:tcPr>
          <w:p w14:paraId="0FACF115" w14:textId="69615866"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11.3</w:t>
            </w:r>
          </w:p>
        </w:tc>
        <w:tc>
          <w:tcPr>
            <w:tcW w:w="1559" w:type="dxa"/>
          </w:tcPr>
          <w:p w14:paraId="78A95D7C" w14:textId="5BE4DAF6"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9.6</w:t>
            </w:r>
          </w:p>
        </w:tc>
        <w:tc>
          <w:tcPr>
            <w:tcW w:w="935" w:type="dxa"/>
          </w:tcPr>
          <w:p w14:paraId="14745A5B" w14:textId="51BF33B3"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9.0</w:t>
            </w:r>
          </w:p>
        </w:tc>
      </w:tr>
      <w:tr w:rsidR="00633C93" w:rsidRPr="00436442" w14:paraId="0FC39904" w14:textId="77777777" w:rsidTr="007D2015">
        <w:tc>
          <w:tcPr>
            <w:tcW w:w="2961" w:type="dxa"/>
          </w:tcPr>
          <w:p w14:paraId="7A3D2AAD" w14:textId="3F14681E"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 xml:space="preserve">Sales &amp; Customer Services </w:t>
            </w:r>
          </w:p>
        </w:tc>
        <w:tc>
          <w:tcPr>
            <w:tcW w:w="1559" w:type="dxa"/>
          </w:tcPr>
          <w:p w14:paraId="179B3233" w14:textId="0E5BCFB2"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3,900</w:t>
            </w:r>
          </w:p>
        </w:tc>
        <w:tc>
          <w:tcPr>
            <w:tcW w:w="1276" w:type="dxa"/>
          </w:tcPr>
          <w:p w14:paraId="37E1920A" w14:textId="5EE441E9"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7.1</w:t>
            </w:r>
          </w:p>
        </w:tc>
        <w:tc>
          <w:tcPr>
            <w:tcW w:w="1559" w:type="dxa"/>
          </w:tcPr>
          <w:p w14:paraId="63AC565C" w14:textId="157B3E0D"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8.4</w:t>
            </w:r>
          </w:p>
        </w:tc>
        <w:tc>
          <w:tcPr>
            <w:tcW w:w="935" w:type="dxa"/>
          </w:tcPr>
          <w:p w14:paraId="6579E142" w14:textId="47B3805E"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7.4</w:t>
            </w:r>
          </w:p>
        </w:tc>
      </w:tr>
      <w:tr w:rsidR="00633C93" w:rsidRPr="00436442" w14:paraId="25F354FB" w14:textId="77777777" w:rsidTr="007D2015">
        <w:tc>
          <w:tcPr>
            <w:tcW w:w="2961" w:type="dxa"/>
          </w:tcPr>
          <w:p w14:paraId="5DD1E17A" w14:textId="596F7331"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Soc 2010 Major Group 8-9</w:t>
            </w:r>
          </w:p>
        </w:tc>
        <w:tc>
          <w:tcPr>
            <w:tcW w:w="1559" w:type="dxa"/>
          </w:tcPr>
          <w:p w14:paraId="57C3F9E8" w14:textId="6F4EA93C"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13,300</w:t>
            </w:r>
          </w:p>
        </w:tc>
        <w:tc>
          <w:tcPr>
            <w:tcW w:w="1276" w:type="dxa"/>
          </w:tcPr>
          <w:p w14:paraId="14572B66" w14:textId="44755B6A"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 xml:space="preserve">24.1 </w:t>
            </w:r>
          </w:p>
        </w:tc>
        <w:tc>
          <w:tcPr>
            <w:tcW w:w="1559" w:type="dxa"/>
          </w:tcPr>
          <w:p w14:paraId="6F28B408" w14:textId="3C172415"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17.6</w:t>
            </w:r>
          </w:p>
        </w:tc>
        <w:tc>
          <w:tcPr>
            <w:tcW w:w="935" w:type="dxa"/>
          </w:tcPr>
          <w:p w14:paraId="078F77CB" w14:textId="0C81B7B7" w:rsidR="00633C93" w:rsidRPr="00436442" w:rsidRDefault="00B1067A" w:rsidP="00633C93">
            <w:pPr>
              <w:pStyle w:val="ListParagraph"/>
              <w:ind w:left="0"/>
              <w:rPr>
                <w:rFonts w:ascii="Arial" w:hAnsi="Arial" w:cs="Arial"/>
                <w:b/>
                <w:bCs/>
                <w:sz w:val="21"/>
                <w:szCs w:val="21"/>
              </w:rPr>
            </w:pPr>
            <w:r w:rsidRPr="00436442">
              <w:rPr>
                <w:rFonts w:ascii="Arial" w:hAnsi="Arial" w:cs="Arial"/>
                <w:b/>
                <w:bCs/>
                <w:sz w:val="21"/>
                <w:szCs w:val="21"/>
              </w:rPr>
              <w:t>16.6</w:t>
            </w:r>
          </w:p>
        </w:tc>
      </w:tr>
      <w:tr w:rsidR="00633C93" w:rsidRPr="00436442" w14:paraId="7C469981" w14:textId="77777777" w:rsidTr="007D2015">
        <w:tc>
          <w:tcPr>
            <w:tcW w:w="2961" w:type="dxa"/>
          </w:tcPr>
          <w:p w14:paraId="030FD770" w14:textId="3F74ADC1"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 xml:space="preserve">Process Plant &amp; Machine Operatives </w:t>
            </w:r>
          </w:p>
        </w:tc>
        <w:tc>
          <w:tcPr>
            <w:tcW w:w="1559" w:type="dxa"/>
          </w:tcPr>
          <w:p w14:paraId="11C88449" w14:textId="2469DA67"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5,900</w:t>
            </w:r>
          </w:p>
        </w:tc>
        <w:tc>
          <w:tcPr>
            <w:tcW w:w="1276" w:type="dxa"/>
          </w:tcPr>
          <w:p w14:paraId="54879885" w14:textId="5A14AA1E"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10.7</w:t>
            </w:r>
          </w:p>
        </w:tc>
        <w:tc>
          <w:tcPr>
            <w:tcW w:w="1559" w:type="dxa"/>
          </w:tcPr>
          <w:p w14:paraId="70F31967" w14:textId="10A811E0"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6.6</w:t>
            </w:r>
          </w:p>
        </w:tc>
        <w:tc>
          <w:tcPr>
            <w:tcW w:w="935" w:type="dxa"/>
          </w:tcPr>
          <w:p w14:paraId="3922849F" w14:textId="7E3D29F7" w:rsidR="00633C93" w:rsidRPr="00436442" w:rsidRDefault="00B1067A" w:rsidP="00633C93">
            <w:pPr>
              <w:pStyle w:val="ListParagraph"/>
              <w:ind w:left="0"/>
              <w:rPr>
                <w:rFonts w:ascii="Arial" w:hAnsi="Arial" w:cs="Arial"/>
                <w:sz w:val="21"/>
                <w:szCs w:val="21"/>
              </w:rPr>
            </w:pPr>
            <w:r w:rsidRPr="00436442">
              <w:rPr>
                <w:rFonts w:ascii="Arial" w:hAnsi="Arial" w:cs="Arial"/>
                <w:sz w:val="21"/>
                <w:szCs w:val="21"/>
              </w:rPr>
              <w:t>6.3</w:t>
            </w:r>
          </w:p>
        </w:tc>
      </w:tr>
      <w:tr w:rsidR="00B1067A" w:rsidRPr="00436442" w14:paraId="4C196194" w14:textId="77777777" w:rsidTr="007D2015">
        <w:tc>
          <w:tcPr>
            <w:tcW w:w="2961" w:type="dxa"/>
          </w:tcPr>
          <w:p w14:paraId="68608D3C" w14:textId="35469AFD" w:rsidR="00B1067A" w:rsidRPr="00436442" w:rsidRDefault="00B1067A" w:rsidP="00633C93">
            <w:pPr>
              <w:pStyle w:val="ListParagraph"/>
              <w:ind w:left="0"/>
              <w:rPr>
                <w:rFonts w:ascii="Arial" w:hAnsi="Arial" w:cs="Arial"/>
                <w:sz w:val="21"/>
                <w:szCs w:val="21"/>
              </w:rPr>
            </w:pPr>
            <w:r w:rsidRPr="00436442">
              <w:rPr>
                <w:rFonts w:ascii="Arial" w:hAnsi="Arial" w:cs="Arial"/>
                <w:sz w:val="21"/>
                <w:szCs w:val="21"/>
              </w:rPr>
              <w:t xml:space="preserve">Elementary Occupations </w:t>
            </w:r>
          </w:p>
        </w:tc>
        <w:tc>
          <w:tcPr>
            <w:tcW w:w="1559" w:type="dxa"/>
          </w:tcPr>
          <w:p w14:paraId="5B172756" w14:textId="00CD5194" w:rsidR="00B1067A" w:rsidRPr="00436442" w:rsidRDefault="00B1067A" w:rsidP="00633C93">
            <w:pPr>
              <w:pStyle w:val="ListParagraph"/>
              <w:ind w:left="0"/>
              <w:rPr>
                <w:rFonts w:ascii="Arial" w:hAnsi="Arial" w:cs="Arial"/>
                <w:sz w:val="21"/>
                <w:szCs w:val="21"/>
              </w:rPr>
            </w:pPr>
            <w:r w:rsidRPr="00436442">
              <w:rPr>
                <w:rFonts w:ascii="Arial" w:hAnsi="Arial" w:cs="Arial"/>
                <w:sz w:val="21"/>
                <w:szCs w:val="21"/>
              </w:rPr>
              <w:t>7,400</w:t>
            </w:r>
          </w:p>
        </w:tc>
        <w:tc>
          <w:tcPr>
            <w:tcW w:w="1276" w:type="dxa"/>
          </w:tcPr>
          <w:p w14:paraId="224D07B4" w14:textId="5F634BFB" w:rsidR="00B1067A" w:rsidRPr="00436442" w:rsidRDefault="00B1067A" w:rsidP="00633C93">
            <w:pPr>
              <w:pStyle w:val="ListParagraph"/>
              <w:ind w:left="0"/>
              <w:rPr>
                <w:rFonts w:ascii="Arial" w:hAnsi="Arial" w:cs="Arial"/>
                <w:sz w:val="21"/>
                <w:szCs w:val="21"/>
              </w:rPr>
            </w:pPr>
            <w:r w:rsidRPr="00436442">
              <w:rPr>
                <w:rFonts w:ascii="Arial" w:hAnsi="Arial" w:cs="Arial"/>
                <w:sz w:val="21"/>
                <w:szCs w:val="21"/>
              </w:rPr>
              <w:t>13.5</w:t>
            </w:r>
          </w:p>
        </w:tc>
        <w:tc>
          <w:tcPr>
            <w:tcW w:w="1559" w:type="dxa"/>
          </w:tcPr>
          <w:p w14:paraId="002D48BB" w14:textId="29F99555" w:rsidR="00B1067A" w:rsidRPr="00436442" w:rsidRDefault="00B1067A" w:rsidP="00633C93">
            <w:pPr>
              <w:pStyle w:val="ListParagraph"/>
              <w:ind w:left="0"/>
              <w:rPr>
                <w:rFonts w:ascii="Arial" w:hAnsi="Arial" w:cs="Arial"/>
                <w:sz w:val="21"/>
                <w:szCs w:val="21"/>
              </w:rPr>
            </w:pPr>
            <w:r w:rsidRPr="00436442">
              <w:rPr>
                <w:rFonts w:ascii="Arial" w:hAnsi="Arial" w:cs="Arial"/>
                <w:sz w:val="21"/>
                <w:szCs w:val="21"/>
              </w:rPr>
              <w:t>11.0</w:t>
            </w:r>
          </w:p>
        </w:tc>
        <w:tc>
          <w:tcPr>
            <w:tcW w:w="935" w:type="dxa"/>
          </w:tcPr>
          <w:p w14:paraId="644BD438" w14:textId="2C898D4B" w:rsidR="00B1067A" w:rsidRPr="00436442" w:rsidRDefault="00B1067A" w:rsidP="00633C93">
            <w:pPr>
              <w:pStyle w:val="ListParagraph"/>
              <w:ind w:left="0"/>
              <w:rPr>
                <w:rFonts w:ascii="Arial" w:hAnsi="Arial" w:cs="Arial"/>
                <w:sz w:val="21"/>
                <w:szCs w:val="21"/>
              </w:rPr>
            </w:pPr>
            <w:r w:rsidRPr="00436442">
              <w:rPr>
                <w:rFonts w:ascii="Arial" w:hAnsi="Arial" w:cs="Arial"/>
                <w:sz w:val="21"/>
                <w:szCs w:val="21"/>
              </w:rPr>
              <w:t>10.3</w:t>
            </w:r>
          </w:p>
        </w:tc>
      </w:tr>
    </w:tbl>
    <w:p w14:paraId="0798689B" w14:textId="77777777" w:rsidR="00633C93" w:rsidRPr="00416FEC" w:rsidRDefault="00633C93" w:rsidP="00633C93">
      <w:pPr>
        <w:pStyle w:val="ListParagraph"/>
        <w:rPr>
          <w:rFonts w:asciiTheme="minorBidi" w:hAnsiTheme="minorBidi"/>
          <w:sz w:val="23"/>
          <w:szCs w:val="23"/>
        </w:rPr>
      </w:pPr>
    </w:p>
    <w:p w14:paraId="6CCF265A" w14:textId="200AFC46" w:rsidR="001D1C29" w:rsidRDefault="00252C4E" w:rsidP="001D1C29">
      <w:pPr>
        <w:pStyle w:val="ListParagraph"/>
        <w:numPr>
          <w:ilvl w:val="0"/>
          <w:numId w:val="2"/>
        </w:numPr>
        <w:rPr>
          <w:rFonts w:ascii="Arial" w:hAnsi="Arial" w:cs="Arial"/>
          <w:sz w:val="23"/>
          <w:szCs w:val="23"/>
        </w:rPr>
      </w:pPr>
      <w:r w:rsidRPr="00436442">
        <w:rPr>
          <w:rFonts w:ascii="Arial" w:hAnsi="Arial" w:cs="Arial"/>
          <w:sz w:val="23"/>
          <w:szCs w:val="23"/>
        </w:rPr>
        <w:t xml:space="preserve">Dumfries and Galloway Council </w:t>
      </w:r>
      <w:r w:rsidR="00BF6F6F" w:rsidRPr="00436442">
        <w:rPr>
          <w:rFonts w:ascii="Arial" w:hAnsi="Arial" w:cs="Arial"/>
          <w:sz w:val="23"/>
          <w:szCs w:val="23"/>
        </w:rPr>
        <w:t>employs</w:t>
      </w:r>
      <w:r w:rsidRPr="00436442">
        <w:rPr>
          <w:rFonts w:ascii="Arial" w:hAnsi="Arial" w:cs="Arial"/>
          <w:sz w:val="23"/>
          <w:szCs w:val="23"/>
        </w:rPr>
        <w:t xml:space="preserve"> 56 European </w:t>
      </w:r>
      <w:r w:rsidR="000A58CA" w:rsidRPr="00436442">
        <w:rPr>
          <w:rFonts w:ascii="Arial" w:hAnsi="Arial" w:cs="Arial"/>
          <w:sz w:val="23"/>
          <w:szCs w:val="23"/>
        </w:rPr>
        <w:t>c</w:t>
      </w:r>
      <w:r w:rsidRPr="00436442">
        <w:rPr>
          <w:rFonts w:ascii="Arial" w:hAnsi="Arial" w:cs="Arial"/>
          <w:sz w:val="23"/>
          <w:szCs w:val="23"/>
        </w:rPr>
        <w:t xml:space="preserve">itizens covering 76 positions.  69.7% of the positions held by EU </w:t>
      </w:r>
      <w:r w:rsidR="00D9064C" w:rsidRPr="00436442">
        <w:rPr>
          <w:rFonts w:ascii="Arial" w:hAnsi="Arial" w:cs="Arial"/>
          <w:sz w:val="23"/>
          <w:szCs w:val="23"/>
        </w:rPr>
        <w:t>n</w:t>
      </w:r>
      <w:r w:rsidRPr="00436442">
        <w:rPr>
          <w:rFonts w:ascii="Arial" w:hAnsi="Arial" w:cs="Arial"/>
          <w:sz w:val="23"/>
          <w:szCs w:val="23"/>
        </w:rPr>
        <w:t xml:space="preserve">ationals are below the £30,000 threshold.  The majority of the posts which the EU nationals cover are lower skilled administrative and manual work.  There are 10 modern </w:t>
      </w:r>
      <w:r w:rsidR="00D9064C" w:rsidRPr="00436442">
        <w:rPr>
          <w:rFonts w:ascii="Arial" w:hAnsi="Arial" w:cs="Arial"/>
          <w:sz w:val="23"/>
          <w:szCs w:val="23"/>
        </w:rPr>
        <w:t>l</w:t>
      </w:r>
      <w:r w:rsidRPr="00436442">
        <w:rPr>
          <w:rFonts w:ascii="Arial" w:hAnsi="Arial" w:cs="Arial"/>
          <w:sz w:val="23"/>
          <w:szCs w:val="23"/>
        </w:rPr>
        <w:t xml:space="preserve">anguage teachers, the band for </w:t>
      </w:r>
      <w:r w:rsidR="00BF6F6F" w:rsidRPr="00436442">
        <w:rPr>
          <w:rFonts w:ascii="Arial" w:hAnsi="Arial" w:cs="Arial"/>
          <w:sz w:val="23"/>
          <w:szCs w:val="23"/>
        </w:rPr>
        <w:t>wh</w:t>
      </w:r>
      <w:r w:rsidR="00C249B6" w:rsidRPr="00436442">
        <w:rPr>
          <w:rFonts w:ascii="Arial" w:hAnsi="Arial" w:cs="Arial"/>
          <w:sz w:val="23"/>
          <w:szCs w:val="23"/>
        </w:rPr>
        <w:t>om</w:t>
      </w:r>
      <w:r w:rsidR="00BF6F6F" w:rsidRPr="00436442">
        <w:rPr>
          <w:rFonts w:ascii="Arial" w:hAnsi="Arial" w:cs="Arial"/>
          <w:sz w:val="23"/>
          <w:szCs w:val="23"/>
        </w:rPr>
        <w:t xml:space="preserve"> is </w:t>
      </w:r>
      <w:r w:rsidRPr="00436442">
        <w:rPr>
          <w:rFonts w:ascii="Arial" w:hAnsi="Arial" w:cs="Arial"/>
          <w:sz w:val="23"/>
          <w:szCs w:val="23"/>
        </w:rPr>
        <w:t>£22,500 - £36,500</w:t>
      </w:r>
      <w:r w:rsidR="00BF6F6F" w:rsidRPr="00436442">
        <w:rPr>
          <w:rFonts w:ascii="Arial" w:hAnsi="Arial" w:cs="Arial"/>
          <w:sz w:val="23"/>
          <w:szCs w:val="23"/>
        </w:rPr>
        <w:t xml:space="preserve">, crossing </w:t>
      </w:r>
      <w:r w:rsidRPr="00436442">
        <w:rPr>
          <w:rFonts w:ascii="Arial" w:hAnsi="Arial" w:cs="Arial"/>
          <w:sz w:val="23"/>
          <w:szCs w:val="23"/>
        </w:rPr>
        <w:t xml:space="preserve">across the threshold.  The number of EU </w:t>
      </w:r>
      <w:r w:rsidR="00C249B6" w:rsidRPr="00436442">
        <w:rPr>
          <w:rFonts w:ascii="Arial" w:hAnsi="Arial" w:cs="Arial"/>
          <w:sz w:val="23"/>
          <w:szCs w:val="23"/>
        </w:rPr>
        <w:t>n</w:t>
      </w:r>
      <w:r w:rsidRPr="00436442">
        <w:rPr>
          <w:rFonts w:ascii="Arial" w:hAnsi="Arial" w:cs="Arial"/>
          <w:sz w:val="23"/>
          <w:szCs w:val="23"/>
        </w:rPr>
        <w:t xml:space="preserve">ationals working for the </w:t>
      </w:r>
      <w:r w:rsidR="00C249B6" w:rsidRPr="00436442">
        <w:rPr>
          <w:rFonts w:ascii="Arial" w:hAnsi="Arial" w:cs="Arial"/>
          <w:sz w:val="23"/>
          <w:szCs w:val="23"/>
        </w:rPr>
        <w:t>C</w:t>
      </w:r>
      <w:r w:rsidRPr="00436442">
        <w:rPr>
          <w:rFonts w:ascii="Arial" w:hAnsi="Arial" w:cs="Arial"/>
          <w:sz w:val="23"/>
          <w:szCs w:val="23"/>
        </w:rPr>
        <w:t>ouncil is relatively low (0.88% of the Council’s workforce)</w:t>
      </w:r>
      <w:r w:rsidR="00EB0A5B" w:rsidRPr="00436442">
        <w:rPr>
          <w:rFonts w:ascii="Arial" w:hAnsi="Arial" w:cs="Arial"/>
          <w:sz w:val="23"/>
          <w:szCs w:val="23"/>
        </w:rPr>
        <w:t>.  H</w:t>
      </w:r>
      <w:r w:rsidRPr="00436442">
        <w:rPr>
          <w:rFonts w:ascii="Arial" w:hAnsi="Arial" w:cs="Arial"/>
          <w:sz w:val="23"/>
          <w:szCs w:val="23"/>
        </w:rPr>
        <w:t>owever</w:t>
      </w:r>
      <w:r w:rsidR="00D9064C" w:rsidRPr="00436442">
        <w:rPr>
          <w:rFonts w:ascii="Arial" w:hAnsi="Arial" w:cs="Arial"/>
          <w:sz w:val="23"/>
          <w:szCs w:val="23"/>
        </w:rPr>
        <w:t>, they predict</w:t>
      </w:r>
      <w:r w:rsidRPr="00436442">
        <w:rPr>
          <w:rFonts w:ascii="Arial" w:hAnsi="Arial" w:cs="Arial"/>
          <w:sz w:val="23"/>
          <w:szCs w:val="23"/>
        </w:rPr>
        <w:t xml:space="preserve"> an impact will be felt in education, where recruiting teachers to the region has </w:t>
      </w:r>
      <w:r w:rsidR="00D9064C" w:rsidRPr="00436442">
        <w:rPr>
          <w:rFonts w:ascii="Arial" w:hAnsi="Arial" w:cs="Arial"/>
          <w:sz w:val="23"/>
          <w:szCs w:val="23"/>
        </w:rPr>
        <w:t>been difficult.</w:t>
      </w:r>
    </w:p>
    <w:p w14:paraId="607CCC30" w14:textId="77777777" w:rsidR="001D1C29" w:rsidRPr="001D1C29" w:rsidRDefault="001D1C29" w:rsidP="001D1C29">
      <w:pPr>
        <w:pStyle w:val="ListParagraph"/>
        <w:ind w:left="360"/>
        <w:rPr>
          <w:rFonts w:ascii="Arial" w:hAnsi="Arial" w:cs="Arial"/>
          <w:sz w:val="23"/>
          <w:szCs w:val="23"/>
        </w:rPr>
      </w:pPr>
    </w:p>
    <w:p w14:paraId="17BFE4BA" w14:textId="15E57D77" w:rsidR="00B658DD" w:rsidRPr="001D1C29" w:rsidRDefault="001D1C29" w:rsidP="001D1C29">
      <w:pPr>
        <w:pStyle w:val="ListParagraph"/>
        <w:numPr>
          <w:ilvl w:val="0"/>
          <w:numId w:val="2"/>
        </w:numPr>
        <w:rPr>
          <w:rFonts w:ascii="Arial" w:hAnsi="Arial" w:cs="Arial"/>
          <w:sz w:val="23"/>
          <w:szCs w:val="23"/>
        </w:rPr>
      </w:pPr>
      <w:r w:rsidRPr="001D1C29">
        <w:rPr>
          <w:rFonts w:ascii="Arial" w:hAnsi="Arial" w:cs="Arial"/>
          <w:sz w:val="23"/>
          <w:szCs w:val="23"/>
        </w:rPr>
        <w:t xml:space="preserve">In </w:t>
      </w:r>
      <w:r w:rsidR="00B658DD" w:rsidRPr="001D1C29">
        <w:rPr>
          <w:rFonts w:ascii="Arial" w:hAnsi="Arial" w:cs="Arial"/>
          <w:sz w:val="23"/>
          <w:szCs w:val="23"/>
        </w:rPr>
        <w:t>Falkirk</w:t>
      </w:r>
      <w:r w:rsidRPr="001D1C29">
        <w:rPr>
          <w:rFonts w:ascii="Arial" w:hAnsi="Arial" w:cs="Arial"/>
          <w:sz w:val="23"/>
          <w:szCs w:val="23"/>
        </w:rPr>
        <w:t xml:space="preserve">, </w:t>
      </w:r>
      <w:r w:rsidRPr="001D1C29">
        <w:rPr>
          <w:rFonts w:ascii="Arial" w:eastAsia="Times New Roman" w:hAnsi="Arial" w:cs="Arial"/>
          <w:sz w:val="23"/>
          <w:szCs w:val="23"/>
          <w:lang w:eastAsia="en-GB"/>
        </w:rPr>
        <w:t>circa 63% of our employees and circa 59% of our non-UK employees earn under £30k.  The jobs identified as having the highest non-UK  (Teachers, Cleaners, Support for Learning Assistants) are included in the under £30k salary bracket. </w:t>
      </w:r>
    </w:p>
    <w:p w14:paraId="4B28FFD8" w14:textId="77777777" w:rsidR="004D05D1" w:rsidRPr="004D05D1" w:rsidRDefault="004D05D1" w:rsidP="004D05D1">
      <w:pPr>
        <w:pStyle w:val="ListParagraph"/>
        <w:rPr>
          <w:rFonts w:ascii="Arial" w:eastAsia="Times New Roman" w:hAnsi="Arial" w:cs="Arial"/>
          <w:sz w:val="23"/>
          <w:szCs w:val="23"/>
          <w:lang w:eastAsia="en-GB"/>
        </w:rPr>
      </w:pPr>
    </w:p>
    <w:p w14:paraId="700FB3D2" w14:textId="58962313" w:rsidR="001C43E4" w:rsidRPr="00436442" w:rsidRDefault="009C04B8" w:rsidP="009C04B8">
      <w:pPr>
        <w:pStyle w:val="ListParagraph"/>
        <w:numPr>
          <w:ilvl w:val="0"/>
          <w:numId w:val="2"/>
        </w:numPr>
        <w:rPr>
          <w:rFonts w:ascii="Arial" w:eastAsia="Times New Roman" w:hAnsi="Arial" w:cs="Arial"/>
          <w:sz w:val="23"/>
          <w:szCs w:val="23"/>
          <w:lang w:eastAsia="en-GB"/>
        </w:rPr>
      </w:pPr>
      <w:r w:rsidRPr="00436442">
        <w:rPr>
          <w:rFonts w:ascii="Arial" w:eastAsia="Times New Roman" w:hAnsi="Arial" w:cs="Arial"/>
          <w:sz w:val="23"/>
          <w:szCs w:val="23"/>
          <w:lang w:eastAsia="en-GB"/>
        </w:rPr>
        <w:t>Glasgow is the largest local authority in Scotland and is home to over 620,000 individuals</w:t>
      </w:r>
      <w:r w:rsidR="00B27443" w:rsidRPr="00436442">
        <w:rPr>
          <w:rFonts w:ascii="Arial" w:eastAsia="Times New Roman" w:hAnsi="Arial" w:cs="Arial"/>
          <w:sz w:val="23"/>
          <w:szCs w:val="23"/>
          <w:lang w:eastAsia="en-GB"/>
        </w:rPr>
        <w:t>.  I</w:t>
      </w:r>
      <w:r w:rsidRPr="00436442">
        <w:rPr>
          <w:rFonts w:ascii="Arial" w:eastAsia="Times New Roman" w:hAnsi="Arial" w:cs="Arial"/>
          <w:sz w:val="23"/>
          <w:szCs w:val="23"/>
          <w:lang w:eastAsia="en-GB"/>
        </w:rPr>
        <w:t xml:space="preserve">t is also Scotland’s most ethnically diverse city.  As an employer, Glasgow City Council, together with its wider </w:t>
      </w:r>
      <w:r w:rsidR="00D9064C" w:rsidRPr="00436442">
        <w:rPr>
          <w:rFonts w:ascii="Arial" w:eastAsia="Times New Roman" w:hAnsi="Arial" w:cs="Arial"/>
          <w:sz w:val="23"/>
          <w:szCs w:val="23"/>
          <w:lang w:eastAsia="en-GB"/>
        </w:rPr>
        <w:t>c</w:t>
      </w:r>
      <w:r w:rsidRPr="00436442">
        <w:rPr>
          <w:rFonts w:ascii="Arial" w:eastAsia="Times New Roman" w:hAnsi="Arial" w:cs="Arial"/>
          <w:sz w:val="23"/>
          <w:szCs w:val="23"/>
          <w:lang w:eastAsia="en-GB"/>
        </w:rPr>
        <w:t xml:space="preserve">ouncil </w:t>
      </w:r>
      <w:r w:rsidR="00D9064C" w:rsidRPr="00436442">
        <w:rPr>
          <w:rFonts w:ascii="Arial" w:eastAsia="Times New Roman" w:hAnsi="Arial" w:cs="Arial"/>
          <w:sz w:val="23"/>
          <w:szCs w:val="23"/>
          <w:lang w:eastAsia="en-GB"/>
        </w:rPr>
        <w:t>f</w:t>
      </w:r>
      <w:r w:rsidRPr="00436442">
        <w:rPr>
          <w:rFonts w:ascii="Arial" w:eastAsia="Times New Roman" w:hAnsi="Arial" w:cs="Arial"/>
          <w:sz w:val="23"/>
          <w:szCs w:val="23"/>
          <w:lang w:eastAsia="en-GB"/>
        </w:rPr>
        <w:t>amily employs approximately 25,000</w:t>
      </w:r>
      <w:r w:rsidR="001C43E4" w:rsidRPr="00436442">
        <w:rPr>
          <w:rFonts w:ascii="Arial" w:eastAsia="Times New Roman" w:hAnsi="Arial" w:cs="Arial"/>
          <w:sz w:val="23"/>
          <w:szCs w:val="23"/>
          <w:lang w:eastAsia="en-GB"/>
        </w:rPr>
        <w:t xml:space="preserve"> people</w:t>
      </w:r>
      <w:r w:rsidRPr="00436442">
        <w:rPr>
          <w:rFonts w:ascii="Arial" w:eastAsia="Times New Roman" w:hAnsi="Arial" w:cs="Arial"/>
          <w:sz w:val="23"/>
          <w:szCs w:val="23"/>
          <w:lang w:eastAsia="en-GB"/>
        </w:rPr>
        <w:t xml:space="preserve">.  The majority of its workforce are women who account for around 70% of </w:t>
      </w:r>
      <w:r w:rsidR="00D9064C" w:rsidRPr="00436442">
        <w:rPr>
          <w:rFonts w:ascii="Arial" w:eastAsia="Times New Roman" w:hAnsi="Arial" w:cs="Arial"/>
          <w:sz w:val="23"/>
          <w:szCs w:val="23"/>
          <w:lang w:eastAsia="en-GB"/>
        </w:rPr>
        <w:t xml:space="preserve">their </w:t>
      </w:r>
      <w:r w:rsidRPr="00436442">
        <w:rPr>
          <w:rFonts w:ascii="Arial" w:eastAsia="Times New Roman" w:hAnsi="Arial" w:cs="Arial"/>
          <w:sz w:val="23"/>
          <w:szCs w:val="23"/>
          <w:lang w:eastAsia="en-GB"/>
        </w:rPr>
        <w:t xml:space="preserve">employees and a significant </w:t>
      </w:r>
      <w:r w:rsidR="001C43E4" w:rsidRPr="00436442">
        <w:rPr>
          <w:rFonts w:ascii="Arial" w:eastAsia="Times New Roman" w:hAnsi="Arial" w:cs="Arial"/>
          <w:sz w:val="23"/>
          <w:szCs w:val="23"/>
          <w:lang w:eastAsia="en-GB"/>
        </w:rPr>
        <w:t>proportion</w:t>
      </w:r>
      <w:r w:rsidRPr="00436442">
        <w:rPr>
          <w:rFonts w:ascii="Arial" w:eastAsia="Times New Roman" w:hAnsi="Arial" w:cs="Arial"/>
          <w:sz w:val="23"/>
          <w:szCs w:val="23"/>
          <w:lang w:eastAsia="en-GB"/>
        </w:rPr>
        <w:t xml:space="preserve"> of </w:t>
      </w:r>
      <w:r w:rsidR="00D9064C" w:rsidRPr="00436442">
        <w:rPr>
          <w:rFonts w:ascii="Arial" w:eastAsia="Times New Roman" w:hAnsi="Arial" w:cs="Arial"/>
          <w:sz w:val="23"/>
          <w:szCs w:val="23"/>
          <w:lang w:eastAsia="en-GB"/>
        </w:rPr>
        <w:t>the</w:t>
      </w:r>
      <w:r w:rsidRPr="00436442">
        <w:rPr>
          <w:rFonts w:ascii="Arial" w:eastAsia="Times New Roman" w:hAnsi="Arial" w:cs="Arial"/>
          <w:sz w:val="23"/>
          <w:szCs w:val="23"/>
          <w:lang w:eastAsia="en-GB"/>
        </w:rPr>
        <w:t xml:space="preserve"> workforce earn</w:t>
      </w:r>
      <w:r w:rsidR="001C43E4" w:rsidRPr="00436442">
        <w:rPr>
          <w:rFonts w:ascii="Arial" w:eastAsia="Times New Roman" w:hAnsi="Arial" w:cs="Arial"/>
          <w:sz w:val="23"/>
          <w:szCs w:val="23"/>
          <w:lang w:eastAsia="en-GB"/>
        </w:rPr>
        <w:t>s</w:t>
      </w:r>
      <w:r w:rsidRPr="00436442">
        <w:rPr>
          <w:rFonts w:ascii="Arial" w:eastAsia="Times New Roman" w:hAnsi="Arial" w:cs="Arial"/>
          <w:sz w:val="23"/>
          <w:szCs w:val="23"/>
          <w:lang w:eastAsia="en-GB"/>
        </w:rPr>
        <w:t xml:space="preserve"> below £30,000.</w:t>
      </w:r>
    </w:p>
    <w:p w14:paraId="0A2A97E9" w14:textId="12D0D1DD" w:rsidR="009C04B8" w:rsidRPr="00436442" w:rsidRDefault="009C04B8" w:rsidP="001C43E4">
      <w:pPr>
        <w:rPr>
          <w:rFonts w:ascii="Arial" w:eastAsia="Times New Roman" w:hAnsi="Arial" w:cs="Arial"/>
          <w:sz w:val="23"/>
          <w:szCs w:val="23"/>
          <w:lang w:eastAsia="en-GB"/>
        </w:rPr>
      </w:pPr>
      <w:r w:rsidRPr="00436442">
        <w:rPr>
          <w:rFonts w:ascii="Arial" w:eastAsia="Times New Roman" w:hAnsi="Arial" w:cs="Arial"/>
          <w:sz w:val="23"/>
          <w:szCs w:val="23"/>
          <w:lang w:eastAsia="en-GB"/>
        </w:rPr>
        <w:t xml:space="preserve">  </w:t>
      </w:r>
    </w:p>
    <w:p w14:paraId="56335401" w14:textId="4CFC8977" w:rsidR="009C04B8" w:rsidRPr="00436442" w:rsidRDefault="009C04B8" w:rsidP="00AB500D">
      <w:pPr>
        <w:pStyle w:val="ListParagraph"/>
        <w:numPr>
          <w:ilvl w:val="0"/>
          <w:numId w:val="2"/>
        </w:numPr>
        <w:rPr>
          <w:rFonts w:ascii="Arial" w:eastAsia="Times New Roman" w:hAnsi="Arial" w:cs="Arial"/>
          <w:sz w:val="23"/>
          <w:szCs w:val="23"/>
          <w:lang w:eastAsia="en-GB"/>
        </w:rPr>
      </w:pPr>
      <w:r w:rsidRPr="00436442">
        <w:rPr>
          <w:rFonts w:ascii="Arial" w:eastAsia="Times New Roman" w:hAnsi="Arial" w:cs="Arial"/>
          <w:sz w:val="23"/>
          <w:szCs w:val="23"/>
          <w:lang w:eastAsia="en-GB"/>
        </w:rPr>
        <w:t xml:space="preserve">In Glasgow, the working age population is set to reduce over the coming decade.  Being able to draw upon EU nationals and Third Country Nationals is helpful in </w:t>
      </w:r>
      <w:r w:rsidR="00D9064C" w:rsidRPr="00436442">
        <w:rPr>
          <w:rFonts w:ascii="Arial" w:eastAsia="Times New Roman" w:hAnsi="Arial" w:cs="Arial"/>
          <w:sz w:val="23"/>
          <w:szCs w:val="23"/>
          <w:lang w:eastAsia="en-GB"/>
        </w:rPr>
        <w:t xml:space="preserve">their </w:t>
      </w:r>
      <w:r w:rsidRPr="00436442">
        <w:rPr>
          <w:rFonts w:ascii="Arial" w:eastAsia="Times New Roman" w:hAnsi="Arial" w:cs="Arial"/>
          <w:sz w:val="23"/>
          <w:szCs w:val="23"/>
          <w:lang w:eastAsia="en-GB"/>
        </w:rPr>
        <w:t xml:space="preserve">ability to tackle the workforce replacement demand challenge that Glasgow will increasingly face.  However, the proposed salary threshold will curtail that ability, given the current average salaries in the city.  This in turn could lead to increased skills gaps and </w:t>
      </w:r>
      <w:r w:rsidR="00D9064C" w:rsidRPr="00436442">
        <w:rPr>
          <w:rFonts w:ascii="Arial" w:eastAsia="Times New Roman" w:hAnsi="Arial" w:cs="Arial"/>
          <w:sz w:val="23"/>
          <w:szCs w:val="23"/>
          <w:lang w:eastAsia="en-GB"/>
        </w:rPr>
        <w:t>their</w:t>
      </w:r>
      <w:r w:rsidRPr="00436442">
        <w:rPr>
          <w:rFonts w:ascii="Arial" w:eastAsia="Times New Roman" w:hAnsi="Arial" w:cs="Arial"/>
          <w:sz w:val="23"/>
          <w:szCs w:val="23"/>
          <w:lang w:eastAsia="en-GB"/>
        </w:rPr>
        <w:t xml:space="preserve"> economic base being undermined and becoming fragile which is not good for </w:t>
      </w:r>
      <w:r w:rsidR="00D9064C" w:rsidRPr="00436442">
        <w:rPr>
          <w:rFonts w:ascii="Arial" w:eastAsia="Times New Roman" w:hAnsi="Arial" w:cs="Arial"/>
          <w:sz w:val="23"/>
          <w:szCs w:val="23"/>
          <w:lang w:eastAsia="en-GB"/>
        </w:rPr>
        <w:t>the</w:t>
      </w:r>
      <w:r w:rsidRPr="00436442">
        <w:rPr>
          <w:rFonts w:ascii="Arial" w:eastAsia="Times New Roman" w:hAnsi="Arial" w:cs="Arial"/>
          <w:sz w:val="23"/>
          <w:szCs w:val="23"/>
          <w:lang w:eastAsia="en-GB"/>
        </w:rPr>
        <w:t xml:space="preserve"> city, the city region and Scotland as a whole.</w:t>
      </w:r>
    </w:p>
    <w:p w14:paraId="7BF91C75" w14:textId="77777777" w:rsidR="00F56A0C" w:rsidRPr="00436442" w:rsidRDefault="00F56A0C" w:rsidP="00F56A0C">
      <w:pPr>
        <w:pStyle w:val="ListParagraph"/>
        <w:rPr>
          <w:rFonts w:ascii="Arial" w:hAnsi="Arial" w:cs="Arial"/>
          <w:sz w:val="23"/>
          <w:szCs w:val="23"/>
        </w:rPr>
      </w:pPr>
    </w:p>
    <w:p w14:paraId="0B23F902" w14:textId="4F103AF0" w:rsidR="00D9064C" w:rsidRPr="00436442" w:rsidRDefault="00F56A0C" w:rsidP="005572A6">
      <w:pPr>
        <w:ind w:left="360"/>
        <w:rPr>
          <w:rFonts w:ascii="Arial" w:hAnsi="Arial" w:cs="Arial"/>
          <w:i/>
          <w:iCs/>
          <w:sz w:val="23"/>
          <w:szCs w:val="23"/>
        </w:rPr>
      </w:pPr>
      <w:r w:rsidRPr="00436442">
        <w:rPr>
          <w:rFonts w:ascii="Arial" w:hAnsi="Arial" w:cs="Arial"/>
          <w:i/>
          <w:iCs/>
          <w:sz w:val="23"/>
          <w:szCs w:val="23"/>
        </w:rPr>
        <w:t xml:space="preserve">Impact on </w:t>
      </w:r>
      <w:r w:rsidR="005572A6">
        <w:rPr>
          <w:rFonts w:ascii="Arial" w:hAnsi="Arial" w:cs="Arial"/>
          <w:i/>
          <w:iCs/>
          <w:sz w:val="23"/>
          <w:szCs w:val="23"/>
        </w:rPr>
        <w:t>S</w:t>
      </w:r>
      <w:r w:rsidR="00D9064C" w:rsidRPr="00436442">
        <w:rPr>
          <w:rFonts w:ascii="Arial" w:hAnsi="Arial" w:cs="Arial"/>
          <w:i/>
          <w:iCs/>
          <w:sz w:val="23"/>
          <w:szCs w:val="23"/>
        </w:rPr>
        <w:t xml:space="preserve">ocial </w:t>
      </w:r>
      <w:r w:rsidR="005572A6">
        <w:rPr>
          <w:rFonts w:ascii="Arial" w:hAnsi="Arial" w:cs="Arial"/>
          <w:i/>
          <w:iCs/>
          <w:sz w:val="23"/>
          <w:szCs w:val="23"/>
        </w:rPr>
        <w:t>C</w:t>
      </w:r>
      <w:r w:rsidR="00D9064C" w:rsidRPr="00436442">
        <w:rPr>
          <w:rFonts w:ascii="Arial" w:hAnsi="Arial" w:cs="Arial"/>
          <w:i/>
          <w:iCs/>
          <w:sz w:val="23"/>
          <w:szCs w:val="23"/>
        </w:rPr>
        <w:t>are</w:t>
      </w:r>
    </w:p>
    <w:p w14:paraId="0BECED37" w14:textId="77777777" w:rsidR="00AE45C3" w:rsidRPr="00436442" w:rsidRDefault="00AE45C3" w:rsidP="00F56A0C">
      <w:pPr>
        <w:ind w:left="360"/>
        <w:rPr>
          <w:rFonts w:ascii="Arial" w:hAnsi="Arial" w:cs="Arial"/>
          <w:i/>
          <w:iCs/>
          <w:sz w:val="23"/>
          <w:szCs w:val="23"/>
        </w:rPr>
      </w:pPr>
    </w:p>
    <w:p w14:paraId="2358DFB0" w14:textId="2D40748F" w:rsidR="00F56A0C" w:rsidRPr="00436442" w:rsidRDefault="00F56A0C" w:rsidP="00D9064C">
      <w:pPr>
        <w:pStyle w:val="ListParagraph"/>
        <w:numPr>
          <w:ilvl w:val="0"/>
          <w:numId w:val="2"/>
        </w:numPr>
        <w:rPr>
          <w:rFonts w:ascii="Arial" w:hAnsi="Arial" w:cs="Arial"/>
          <w:sz w:val="23"/>
          <w:szCs w:val="23"/>
        </w:rPr>
      </w:pPr>
      <w:r w:rsidRPr="00436442">
        <w:rPr>
          <w:rFonts w:ascii="Arial" w:hAnsi="Arial" w:cs="Arial"/>
          <w:sz w:val="23"/>
          <w:szCs w:val="23"/>
        </w:rPr>
        <w:t xml:space="preserve">All our responses emphasised </w:t>
      </w:r>
      <w:r w:rsidR="00784E3D" w:rsidRPr="00436442">
        <w:rPr>
          <w:rFonts w:ascii="Arial" w:hAnsi="Arial" w:cs="Arial"/>
          <w:sz w:val="23"/>
          <w:szCs w:val="23"/>
        </w:rPr>
        <w:t>councils’</w:t>
      </w:r>
      <w:r w:rsidRPr="00436442">
        <w:rPr>
          <w:rFonts w:ascii="Arial" w:hAnsi="Arial" w:cs="Arial"/>
          <w:sz w:val="23"/>
          <w:szCs w:val="23"/>
        </w:rPr>
        <w:t xml:space="preserve"> concern</w:t>
      </w:r>
      <w:r w:rsidR="00784E3D" w:rsidRPr="00436442">
        <w:rPr>
          <w:rFonts w:ascii="Arial" w:hAnsi="Arial" w:cs="Arial"/>
          <w:sz w:val="23"/>
          <w:szCs w:val="23"/>
        </w:rPr>
        <w:t>s</w:t>
      </w:r>
      <w:r w:rsidRPr="00436442">
        <w:rPr>
          <w:rFonts w:ascii="Arial" w:hAnsi="Arial" w:cs="Arial"/>
          <w:sz w:val="23"/>
          <w:szCs w:val="23"/>
        </w:rPr>
        <w:t xml:space="preserve"> about the impact on the health and social care sector, in that the average wage in the independent </w:t>
      </w:r>
      <w:r w:rsidR="00D9064C" w:rsidRPr="00436442">
        <w:rPr>
          <w:rFonts w:ascii="Arial" w:hAnsi="Arial" w:cs="Arial"/>
          <w:sz w:val="23"/>
          <w:szCs w:val="23"/>
        </w:rPr>
        <w:t xml:space="preserve">social care </w:t>
      </w:r>
      <w:r w:rsidRPr="00436442">
        <w:rPr>
          <w:rFonts w:ascii="Arial" w:hAnsi="Arial" w:cs="Arial"/>
          <w:sz w:val="23"/>
          <w:szCs w:val="23"/>
        </w:rPr>
        <w:t xml:space="preserve">sector is the current living wage.  </w:t>
      </w:r>
      <w:r w:rsidR="00D9064C" w:rsidRPr="00436442">
        <w:rPr>
          <w:rFonts w:ascii="Arial" w:eastAsia="Times New Roman" w:hAnsi="Arial" w:cs="Arial"/>
          <w:sz w:val="23"/>
          <w:szCs w:val="23"/>
          <w:lang w:eastAsia="en-GB"/>
        </w:rPr>
        <w:t>Several member authorities stipulated that some Care and most Care Assistant roles meet the proposed qualification threshold</w:t>
      </w:r>
      <w:r w:rsidR="00D9064C" w:rsidRPr="00436442">
        <w:rPr>
          <w:rFonts w:ascii="Arial" w:eastAsia="Times New Roman" w:hAnsi="Arial" w:cs="Arial"/>
          <w:b/>
          <w:sz w:val="23"/>
          <w:szCs w:val="23"/>
          <w:lang w:eastAsia="en-GB"/>
        </w:rPr>
        <w:t xml:space="preserve"> </w:t>
      </w:r>
      <w:r w:rsidR="00D9064C" w:rsidRPr="00436442">
        <w:rPr>
          <w:rFonts w:ascii="Arial" w:eastAsia="Times New Roman" w:hAnsi="Arial" w:cs="Arial"/>
          <w:sz w:val="23"/>
          <w:szCs w:val="23"/>
          <w:lang w:eastAsia="en-GB"/>
        </w:rPr>
        <w:t xml:space="preserve">but not the </w:t>
      </w:r>
      <w:r w:rsidR="00D9064C" w:rsidRPr="00436442">
        <w:rPr>
          <w:rFonts w:ascii="Arial" w:eastAsia="Times New Roman" w:hAnsi="Arial" w:cs="Arial"/>
          <w:sz w:val="23"/>
          <w:szCs w:val="23"/>
          <w:lang w:eastAsia="en-GB"/>
        </w:rPr>
        <w:lastRenderedPageBreak/>
        <w:t xml:space="preserve">£30,000 salary.  </w:t>
      </w:r>
      <w:r w:rsidRPr="00436442">
        <w:rPr>
          <w:rFonts w:ascii="Arial" w:hAnsi="Arial" w:cs="Arial"/>
          <w:sz w:val="23"/>
          <w:szCs w:val="23"/>
        </w:rPr>
        <w:t>Also, the current starting salary for a professional health care worker (nurse, occupational therapist) is £24,000</w:t>
      </w:r>
      <w:r w:rsidR="001F2065" w:rsidRPr="00436442">
        <w:rPr>
          <w:rFonts w:ascii="Arial" w:hAnsi="Arial" w:cs="Arial"/>
          <w:sz w:val="23"/>
          <w:szCs w:val="23"/>
        </w:rPr>
        <w:t>.  T</w:t>
      </w:r>
      <w:r w:rsidRPr="00436442">
        <w:rPr>
          <w:rFonts w:ascii="Arial" w:hAnsi="Arial" w:cs="Arial"/>
          <w:sz w:val="23"/>
          <w:szCs w:val="23"/>
        </w:rPr>
        <w:t>herefore</w:t>
      </w:r>
      <w:r w:rsidR="001F2065" w:rsidRPr="00436442">
        <w:rPr>
          <w:rFonts w:ascii="Arial" w:hAnsi="Arial" w:cs="Arial"/>
          <w:sz w:val="23"/>
          <w:szCs w:val="23"/>
        </w:rPr>
        <w:t>,</w:t>
      </w:r>
      <w:r w:rsidRPr="00436442">
        <w:rPr>
          <w:rFonts w:ascii="Arial" w:hAnsi="Arial" w:cs="Arial"/>
          <w:sz w:val="23"/>
          <w:szCs w:val="23"/>
        </w:rPr>
        <w:t xml:space="preserve"> in order to meet health and social care needs, the salary threshold needs to be significantly lower.</w:t>
      </w:r>
    </w:p>
    <w:p w14:paraId="1CC45982" w14:textId="77777777" w:rsidR="001F2065" w:rsidRPr="00436442" w:rsidRDefault="001F2065" w:rsidP="001F2065">
      <w:pPr>
        <w:pStyle w:val="ListParagraph"/>
        <w:ind w:left="360"/>
        <w:rPr>
          <w:rFonts w:ascii="Arial" w:hAnsi="Arial" w:cs="Arial"/>
          <w:sz w:val="23"/>
          <w:szCs w:val="23"/>
        </w:rPr>
      </w:pPr>
    </w:p>
    <w:p w14:paraId="07D522DD" w14:textId="5C7C1728" w:rsidR="00AA239E" w:rsidRPr="00E7259A" w:rsidRDefault="00F56A0C" w:rsidP="00AA239E">
      <w:pPr>
        <w:pStyle w:val="ListParagraph"/>
        <w:numPr>
          <w:ilvl w:val="0"/>
          <w:numId w:val="2"/>
        </w:numPr>
        <w:rPr>
          <w:rFonts w:ascii="Arial" w:hAnsi="Arial" w:cs="Arial"/>
          <w:sz w:val="23"/>
          <w:szCs w:val="23"/>
        </w:rPr>
      </w:pPr>
      <w:r w:rsidRPr="00436442">
        <w:rPr>
          <w:rFonts w:ascii="Arial" w:eastAsia="Times New Roman" w:hAnsi="Arial" w:cs="Arial"/>
          <w:sz w:val="23"/>
          <w:szCs w:val="23"/>
          <w:lang w:eastAsia="en-GB"/>
        </w:rPr>
        <w:t>Our member authorities highlighted the challenges of an ageing population, the high demand for care workers and their struggle</w:t>
      </w:r>
      <w:r w:rsidR="00AA239E" w:rsidRPr="00436442">
        <w:rPr>
          <w:rFonts w:ascii="Arial" w:eastAsia="Times New Roman" w:hAnsi="Arial" w:cs="Arial"/>
          <w:sz w:val="23"/>
          <w:szCs w:val="23"/>
          <w:lang w:eastAsia="en-GB"/>
        </w:rPr>
        <w:t>s</w:t>
      </w:r>
      <w:r w:rsidRPr="00436442">
        <w:rPr>
          <w:rFonts w:ascii="Arial" w:eastAsia="Times New Roman" w:hAnsi="Arial" w:cs="Arial"/>
          <w:sz w:val="23"/>
          <w:szCs w:val="23"/>
          <w:lang w:eastAsia="en-GB"/>
        </w:rPr>
        <w:t xml:space="preserve"> to recruit to these posts.  For example, East Renfrewshire engage agency workers to fill gaps and engage overseas workers (EU and non-EU).</w:t>
      </w:r>
    </w:p>
    <w:p w14:paraId="1F913B2A" w14:textId="77777777" w:rsidR="00E7259A" w:rsidRPr="00E7259A" w:rsidRDefault="00E7259A" w:rsidP="00E7259A">
      <w:pPr>
        <w:rPr>
          <w:rFonts w:ascii="Arial" w:hAnsi="Arial" w:cs="Arial"/>
          <w:sz w:val="23"/>
          <w:szCs w:val="23"/>
        </w:rPr>
      </w:pPr>
    </w:p>
    <w:p w14:paraId="4FD305FB" w14:textId="67DD8886" w:rsidR="00AA239E" w:rsidRPr="00436442" w:rsidRDefault="00AE45C3" w:rsidP="00AA239E">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 xml:space="preserve">Highland has a population aging faster than the Scottish &amp; UK averages meaning an increasing demand for health and social care. </w:t>
      </w:r>
      <w:r w:rsidR="00AA239E" w:rsidRPr="00436442">
        <w:rPr>
          <w:rFonts w:ascii="Arial" w:hAnsi="Arial" w:cs="Arial"/>
          <w:sz w:val="23"/>
          <w:szCs w:val="23"/>
        </w:rPr>
        <w:t xml:space="preserve"> </w:t>
      </w:r>
      <w:r w:rsidRPr="00436442">
        <w:rPr>
          <w:rFonts w:ascii="Arial" w:hAnsi="Arial" w:cs="Arial"/>
          <w:sz w:val="23"/>
          <w:szCs w:val="23"/>
        </w:rPr>
        <w:t xml:space="preserve">Projections from Skills Development Scotland anticipate the need for 3,400 Health Professionals and 3,800 new recruits in the Caring Personal Service Occupations between 2018 and 2028 if replacement demands and expansion demands are to be met. </w:t>
      </w:r>
      <w:r w:rsidR="0086679D" w:rsidRPr="00436442">
        <w:rPr>
          <w:rFonts w:ascii="Arial" w:hAnsi="Arial" w:cs="Arial"/>
          <w:sz w:val="23"/>
          <w:szCs w:val="23"/>
        </w:rPr>
        <w:t xml:space="preserve"> </w:t>
      </w:r>
      <w:r w:rsidRPr="00436442">
        <w:rPr>
          <w:rFonts w:ascii="Arial" w:hAnsi="Arial" w:cs="Arial"/>
          <w:sz w:val="23"/>
          <w:szCs w:val="23"/>
        </w:rPr>
        <w:t>Based on current job vacancies</w:t>
      </w:r>
      <w:r w:rsidR="0086679D" w:rsidRPr="00436442">
        <w:rPr>
          <w:rFonts w:ascii="Arial" w:hAnsi="Arial" w:cs="Arial"/>
          <w:sz w:val="23"/>
          <w:szCs w:val="23"/>
        </w:rPr>
        <w:t>,</w:t>
      </w:r>
      <w:r w:rsidRPr="00436442">
        <w:rPr>
          <w:rFonts w:ascii="Arial" w:hAnsi="Arial" w:cs="Arial"/>
          <w:sz w:val="23"/>
          <w:szCs w:val="23"/>
        </w:rPr>
        <w:t xml:space="preserve"> the average Registered Nurse Salary in</w:t>
      </w:r>
      <w:r w:rsidR="0086679D" w:rsidRPr="00436442">
        <w:rPr>
          <w:rFonts w:ascii="Arial" w:hAnsi="Arial" w:cs="Arial"/>
          <w:sz w:val="23"/>
          <w:szCs w:val="23"/>
        </w:rPr>
        <w:t xml:space="preserve"> the</w:t>
      </w:r>
      <w:r w:rsidRPr="00436442">
        <w:rPr>
          <w:rFonts w:ascii="Arial" w:hAnsi="Arial" w:cs="Arial"/>
          <w:sz w:val="23"/>
          <w:szCs w:val="23"/>
        </w:rPr>
        <w:t xml:space="preserve"> United Kingdom is £24,664</w:t>
      </w:r>
      <w:r w:rsidR="0086679D" w:rsidRPr="00436442">
        <w:rPr>
          <w:rFonts w:ascii="Arial" w:hAnsi="Arial" w:cs="Arial"/>
          <w:sz w:val="23"/>
          <w:szCs w:val="23"/>
        </w:rPr>
        <w:t>,</w:t>
      </w:r>
      <w:r w:rsidRPr="00436442">
        <w:rPr>
          <w:rFonts w:ascii="Arial" w:hAnsi="Arial" w:cs="Arial"/>
          <w:sz w:val="23"/>
          <w:szCs w:val="23"/>
        </w:rPr>
        <w:t xml:space="preserve"> meaning</w:t>
      </w:r>
      <w:r w:rsidR="0086679D" w:rsidRPr="00436442">
        <w:rPr>
          <w:rFonts w:ascii="Arial" w:hAnsi="Arial" w:cs="Arial"/>
          <w:sz w:val="23"/>
          <w:szCs w:val="23"/>
        </w:rPr>
        <w:t xml:space="preserve"> that</w:t>
      </w:r>
      <w:r w:rsidRPr="00436442">
        <w:rPr>
          <w:rFonts w:ascii="Arial" w:hAnsi="Arial" w:cs="Arial"/>
          <w:sz w:val="23"/>
          <w:szCs w:val="23"/>
        </w:rPr>
        <w:t xml:space="preserve"> essential posts such as this could not be filled by migrant workers under the proposed £30,000 threshold unless through the </w:t>
      </w:r>
      <w:r w:rsidR="00851A3E" w:rsidRPr="00436442">
        <w:rPr>
          <w:rFonts w:ascii="Arial" w:hAnsi="Arial" w:cs="Arial"/>
          <w:sz w:val="23"/>
          <w:szCs w:val="23"/>
        </w:rPr>
        <w:t>S</w:t>
      </w:r>
      <w:r w:rsidRPr="00436442">
        <w:rPr>
          <w:rFonts w:ascii="Arial" w:hAnsi="Arial" w:cs="Arial"/>
          <w:sz w:val="23"/>
          <w:szCs w:val="23"/>
        </w:rPr>
        <w:t xml:space="preserve">hortage </w:t>
      </w:r>
      <w:r w:rsidR="00851A3E" w:rsidRPr="00436442">
        <w:rPr>
          <w:rFonts w:ascii="Arial" w:hAnsi="Arial" w:cs="Arial"/>
          <w:sz w:val="23"/>
          <w:szCs w:val="23"/>
        </w:rPr>
        <w:t>O</w:t>
      </w:r>
      <w:r w:rsidRPr="00436442">
        <w:rPr>
          <w:rFonts w:ascii="Arial" w:hAnsi="Arial" w:cs="Arial"/>
          <w:sz w:val="23"/>
          <w:szCs w:val="23"/>
        </w:rPr>
        <w:t xml:space="preserve">ccupation </w:t>
      </w:r>
      <w:r w:rsidR="00851A3E" w:rsidRPr="00436442">
        <w:rPr>
          <w:rFonts w:ascii="Arial" w:hAnsi="Arial" w:cs="Arial"/>
          <w:sz w:val="23"/>
          <w:szCs w:val="23"/>
        </w:rPr>
        <w:t>L</w:t>
      </w:r>
      <w:r w:rsidRPr="00436442">
        <w:rPr>
          <w:rFonts w:ascii="Arial" w:hAnsi="Arial" w:cs="Arial"/>
          <w:sz w:val="23"/>
          <w:szCs w:val="23"/>
        </w:rPr>
        <w:t>ist</w:t>
      </w:r>
      <w:r w:rsidR="00851A3E" w:rsidRPr="00436442">
        <w:rPr>
          <w:rFonts w:ascii="Arial" w:hAnsi="Arial" w:cs="Arial"/>
          <w:sz w:val="23"/>
          <w:szCs w:val="23"/>
        </w:rPr>
        <w:t xml:space="preserve"> (SOL)</w:t>
      </w:r>
      <w:r w:rsidRPr="00436442">
        <w:rPr>
          <w:rFonts w:ascii="Arial" w:hAnsi="Arial" w:cs="Arial"/>
          <w:sz w:val="23"/>
          <w:szCs w:val="23"/>
        </w:rPr>
        <w:t xml:space="preserve">. </w:t>
      </w:r>
    </w:p>
    <w:p w14:paraId="261181C6" w14:textId="77777777" w:rsidR="00AA239E" w:rsidRPr="00436442" w:rsidRDefault="00AA239E" w:rsidP="00AA239E">
      <w:pPr>
        <w:pStyle w:val="NormalWeb"/>
        <w:spacing w:before="0" w:beforeAutospacing="0" w:after="0" w:afterAutospacing="0"/>
        <w:ind w:left="357"/>
        <w:rPr>
          <w:rFonts w:ascii="Arial" w:hAnsi="Arial" w:cs="Arial"/>
          <w:sz w:val="23"/>
          <w:szCs w:val="23"/>
        </w:rPr>
      </w:pPr>
    </w:p>
    <w:p w14:paraId="44BF2B1E" w14:textId="069CE01A" w:rsidR="00BF516D" w:rsidRPr="00436442" w:rsidRDefault="006354C0" w:rsidP="00BF516D">
      <w:pPr>
        <w:pStyle w:val="ListParagraph"/>
        <w:numPr>
          <w:ilvl w:val="0"/>
          <w:numId w:val="2"/>
        </w:numPr>
        <w:ind w:left="357"/>
        <w:rPr>
          <w:rFonts w:ascii="Arial" w:eastAsia="Times New Roman" w:hAnsi="Arial" w:cs="Arial"/>
          <w:sz w:val="23"/>
          <w:szCs w:val="23"/>
          <w:lang w:eastAsia="en-GB"/>
        </w:rPr>
      </w:pPr>
      <w:r w:rsidRPr="00436442">
        <w:rPr>
          <w:rFonts w:ascii="Arial" w:eastAsia="Times New Roman" w:hAnsi="Arial" w:cs="Arial"/>
          <w:sz w:val="23"/>
          <w:szCs w:val="23"/>
          <w:lang w:eastAsia="en-GB"/>
        </w:rPr>
        <w:t xml:space="preserve">There is a </w:t>
      </w:r>
      <w:r w:rsidR="00A665D4" w:rsidRPr="00436442">
        <w:rPr>
          <w:rFonts w:ascii="Arial" w:eastAsia="Times New Roman" w:hAnsi="Arial" w:cs="Arial"/>
          <w:sz w:val="23"/>
          <w:szCs w:val="23"/>
          <w:lang w:eastAsia="en-GB"/>
        </w:rPr>
        <w:t>particular issue</w:t>
      </w:r>
      <w:r w:rsidRPr="00436442">
        <w:rPr>
          <w:rFonts w:ascii="Arial" w:eastAsia="Times New Roman" w:hAnsi="Arial" w:cs="Arial"/>
          <w:sz w:val="23"/>
          <w:szCs w:val="23"/>
          <w:lang w:eastAsia="en-GB"/>
        </w:rPr>
        <w:t xml:space="preserve"> with jobs that have high social value but not a high wage value.  In Glasgow, </w:t>
      </w:r>
      <w:r w:rsidR="00877639" w:rsidRPr="00436442">
        <w:rPr>
          <w:rFonts w:ascii="Arial" w:eastAsia="Times New Roman" w:hAnsi="Arial" w:cs="Arial"/>
          <w:sz w:val="23"/>
          <w:szCs w:val="23"/>
          <w:lang w:eastAsia="en-GB"/>
        </w:rPr>
        <w:t>‘</w:t>
      </w:r>
      <w:r w:rsidRPr="00436442">
        <w:rPr>
          <w:rFonts w:ascii="Arial" w:eastAsia="Times New Roman" w:hAnsi="Arial" w:cs="Arial"/>
          <w:sz w:val="23"/>
          <w:szCs w:val="23"/>
          <w:lang w:eastAsia="en-GB"/>
        </w:rPr>
        <w:t>social care factor staff</w:t>
      </w:r>
      <w:r w:rsidR="00877639" w:rsidRPr="00436442">
        <w:rPr>
          <w:rFonts w:ascii="Arial" w:eastAsia="Times New Roman" w:hAnsi="Arial" w:cs="Arial"/>
          <w:sz w:val="23"/>
          <w:szCs w:val="23"/>
          <w:lang w:eastAsia="en-GB"/>
        </w:rPr>
        <w:t>’</w:t>
      </w:r>
      <w:r w:rsidRPr="00436442">
        <w:rPr>
          <w:rFonts w:ascii="Arial" w:eastAsia="Times New Roman" w:hAnsi="Arial" w:cs="Arial"/>
          <w:sz w:val="23"/>
          <w:szCs w:val="23"/>
          <w:lang w:eastAsia="en-GB"/>
        </w:rPr>
        <w:t xml:space="preserve"> are critical to the smooth running of </w:t>
      </w:r>
      <w:r w:rsidR="008268D1" w:rsidRPr="00436442">
        <w:rPr>
          <w:rFonts w:ascii="Arial" w:eastAsia="Times New Roman" w:hAnsi="Arial" w:cs="Arial"/>
          <w:sz w:val="23"/>
          <w:szCs w:val="23"/>
          <w:lang w:eastAsia="en-GB"/>
        </w:rPr>
        <w:t>the city’s</w:t>
      </w:r>
      <w:r w:rsidRPr="00436442">
        <w:rPr>
          <w:rFonts w:ascii="Arial" w:eastAsia="Times New Roman" w:hAnsi="Arial" w:cs="Arial"/>
          <w:sz w:val="23"/>
          <w:szCs w:val="23"/>
          <w:lang w:eastAsia="en-GB"/>
        </w:rPr>
        <w:t xml:space="preserve"> health services.  Currently in Glasgow 32% of these staff are EU nationals and</w:t>
      </w:r>
      <w:r w:rsidR="006C08BF" w:rsidRPr="00436442">
        <w:rPr>
          <w:rFonts w:ascii="Arial" w:eastAsia="Times New Roman" w:hAnsi="Arial" w:cs="Arial"/>
          <w:sz w:val="23"/>
          <w:szCs w:val="23"/>
          <w:lang w:eastAsia="en-GB"/>
        </w:rPr>
        <w:t>, given</w:t>
      </w:r>
      <w:r w:rsidRPr="00436442">
        <w:rPr>
          <w:rFonts w:ascii="Arial" w:eastAsia="Times New Roman" w:hAnsi="Arial" w:cs="Arial"/>
          <w:sz w:val="23"/>
          <w:szCs w:val="23"/>
          <w:lang w:eastAsia="en-GB"/>
        </w:rPr>
        <w:t xml:space="preserve"> the critical infrastructure support they provide, </w:t>
      </w:r>
      <w:r w:rsidR="00FE7E5B" w:rsidRPr="00436442">
        <w:rPr>
          <w:rFonts w:ascii="Arial" w:eastAsia="Times New Roman" w:hAnsi="Arial" w:cs="Arial"/>
          <w:sz w:val="23"/>
          <w:szCs w:val="23"/>
          <w:lang w:eastAsia="en-GB"/>
        </w:rPr>
        <w:t xml:space="preserve">the proposed salary threshold </w:t>
      </w:r>
      <w:r w:rsidRPr="00436442">
        <w:rPr>
          <w:rFonts w:ascii="Arial" w:eastAsia="Times New Roman" w:hAnsi="Arial" w:cs="Arial"/>
          <w:sz w:val="23"/>
          <w:szCs w:val="23"/>
          <w:lang w:eastAsia="en-GB"/>
        </w:rPr>
        <w:t xml:space="preserve">would have a critically detrimental impact on </w:t>
      </w:r>
      <w:r w:rsidR="00A85725" w:rsidRPr="00436442">
        <w:rPr>
          <w:rFonts w:ascii="Arial" w:eastAsia="Times New Roman" w:hAnsi="Arial" w:cs="Arial"/>
          <w:sz w:val="23"/>
          <w:szCs w:val="23"/>
          <w:lang w:eastAsia="en-GB"/>
        </w:rPr>
        <w:t>services’ capacity</w:t>
      </w:r>
      <w:r w:rsidRPr="00436442">
        <w:rPr>
          <w:rFonts w:ascii="Arial" w:eastAsia="Times New Roman" w:hAnsi="Arial" w:cs="Arial"/>
          <w:sz w:val="23"/>
          <w:szCs w:val="23"/>
          <w:lang w:eastAsia="en-GB"/>
        </w:rPr>
        <w:t xml:space="preserve"> to continue to provide this support in the future, given the reliance on employing EU nationals. </w:t>
      </w:r>
      <w:r w:rsidR="00FE7E5B" w:rsidRPr="00436442">
        <w:rPr>
          <w:rFonts w:ascii="Arial" w:eastAsia="Times New Roman" w:hAnsi="Arial" w:cs="Arial"/>
          <w:sz w:val="23"/>
          <w:szCs w:val="23"/>
          <w:lang w:eastAsia="en-GB"/>
        </w:rPr>
        <w:t xml:space="preserve"> </w:t>
      </w:r>
      <w:r w:rsidRPr="00436442">
        <w:rPr>
          <w:rFonts w:ascii="Arial" w:eastAsia="Times New Roman" w:hAnsi="Arial" w:cs="Arial"/>
          <w:sz w:val="23"/>
          <w:szCs w:val="23"/>
          <w:lang w:eastAsia="en-GB"/>
        </w:rPr>
        <w:t xml:space="preserve">Full consideration and recognition </w:t>
      </w:r>
      <w:r w:rsidR="00807E77" w:rsidRPr="00436442">
        <w:rPr>
          <w:rFonts w:ascii="Arial" w:eastAsia="Times New Roman" w:hAnsi="Arial" w:cs="Arial"/>
          <w:sz w:val="23"/>
          <w:szCs w:val="23"/>
          <w:lang w:eastAsia="en-GB"/>
        </w:rPr>
        <w:t xml:space="preserve">therefore </w:t>
      </w:r>
      <w:r w:rsidRPr="00436442">
        <w:rPr>
          <w:rFonts w:ascii="Arial" w:eastAsia="Times New Roman" w:hAnsi="Arial" w:cs="Arial"/>
          <w:sz w:val="23"/>
          <w:szCs w:val="23"/>
          <w:lang w:eastAsia="en-GB"/>
        </w:rPr>
        <w:t>needs to be given to the high social value roles which are carried out and contribute to meeting our health and social needs.</w:t>
      </w:r>
    </w:p>
    <w:p w14:paraId="2FD57627" w14:textId="77777777" w:rsidR="00BF516D" w:rsidRPr="00436442" w:rsidRDefault="00BF516D" w:rsidP="00BF516D">
      <w:pPr>
        <w:rPr>
          <w:rFonts w:ascii="Arial" w:eastAsia="Times New Roman" w:hAnsi="Arial" w:cs="Arial"/>
          <w:sz w:val="23"/>
          <w:szCs w:val="23"/>
          <w:lang w:eastAsia="en-GB"/>
        </w:rPr>
      </w:pPr>
    </w:p>
    <w:p w14:paraId="6310A5A2" w14:textId="5DD47EA6" w:rsidR="00F56A0C" w:rsidRPr="00436442" w:rsidRDefault="00AE45C3" w:rsidP="00BF516D">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Statistics published by the Care Inspectorate and Scottish Social Services Council (SSSC) in January 2019 show that vacancy levels across social services are significant and increasing and</w:t>
      </w:r>
      <w:r w:rsidR="00946EA6" w:rsidRPr="00436442">
        <w:rPr>
          <w:rFonts w:ascii="Arial" w:hAnsi="Arial" w:cs="Arial"/>
          <w:sz w:val="23"/>
          <w:szCs w:val="23"/>
        </w:rPr>
        <w:t>,</w:t>
      </w:r>
      <w:r w:rsidRPr="00436442">
        <w:rPr>
          <w:rFonts w:ascii="Arial" w:hAnsi="Arial" w:cs="Arial"/>
          <w:sz w:val="23"/>
          <w:szCs w:val="23"/>
        </w:rPr>
        <w:t xml:space="preserve"> with wages for most roles in the care sector being no higher than for a registered nurse</w:t>
      </w:r>
      <w:r w:rsidR="00946EA6" w:rsidRPr="00436442">
        <w:rPr>
          <w:rFonts w:ascii="Arial" w:hAnsi="Arial" w:cs="Arial"/>
          <w:sz w:val="23"/>
          <w:szCs w:val="23"/>
        </w:rPr>
        <w:t>,</w:t>
      </w:r>
      <w:r w:rsidRPr="00436442">
        <w:rPr>
          <w:rFonts w:ascii="Arial" w:hAnsi="Arial" w:cs="Arial"/>
          <w:sz w:val="23"/>
          <w:szCs w:val="23"/>
        </w:rPr>
        <w:t xml:space="preserve"> the proposed threshold is again likely to have an even greater impact on the Care sector. </w:t>
      </w:r>
      <w:r w:rsidR="00946EA6" w:rsidRPr="00436442">
        <w:rPr>
          <w:rFonts w:ascii="Arial" w:hAnsi="Arial" w:cs="Arial"/>
          <w:sz w:val="23"/>
          <w:szCs w:val="23"/>
        </w:rPr>
        <w:t xml:space="preserve"> </w:t>
      </w:r>
      <w:r w:rsidRPr="00436442">
        <w:rPr>
          <w:rFonts w:ascii="Arial" w:hAnsi="Arial" w:cs="Arial"/>
          <w:sz w:val="23"/>
          <w:szCs w:val="23"/>
        </w:rPr>
        <w:t xml:space="preserve">Many of these roles can clearly be described as jobs of high public value but not high wages and as such </w:t>
      </w:r>
      <w:r w:rsidR="00717F09" w:rsidRPr="00436442">
        <w:rPr>
          <w:rFonts w:ascii="Arial" w:hAnsi="Arial" w:cs="Arial"/>
          <w:sz w:val="23"/>
          <w:szCs w:val="23"/>
        </w:rPr>
        <w:t xml:space="preserve">should </w:t>
      </w:r>
      <w:r w:rsidR="009B32D8" w:rsidRPr="00436442">
        <w:rPr>
          <w:rFonts w:ascii="Arial" w:hAnsi="Arial" w:cs="Arial"/>
          <w:sz w:val="23"/>
          <w:szCs w:val="23"/>
        </w:rPr>
        <w:t>not</w:t>
      </w:r>
      <w:r w:rsidR="00510443" w:rsidRPr="00436442">
        <w:rPr>
          <w:rFonts w:ascii="Arial" w:hAnsi="Arial" w:cs="Arial"/>
          <w:sz w:val="23"/>
          <w:szCs w:val="23"/>
        </w:rPr>
        <w:t xml:space="preserve"> </w:t>
      </w:r>
      <w:r w:rsidR="00AC42A9" w:rsidRPr="00436442">
        <w:rPr>
          <w:rFonts w:ascii="Arial" w:hAnsi="Arial" w:cs="Arial"/>
          <w:sz w:val="23"/>
          <w:szCs w:val="23"/>
        </w:rPr>
        <w:t>be subject to</w:t>
      </w:r>
      <w:r w:rsidR="00510443" w:rsidRPr="00436442">
        <w:rPr>
          <w:rFonts w:ascii="Arial" w:hAnsi="Arial" w:cs="Arial"/>
          <w:sz w:val="23"/>
          <w:szCs w:val="23"/>
        </w:rPr>
        <w:t xml:space="preserve"> restrictions </w:t>
      </w:r>
      <w:r w:rsidR="004F456B" w:rsidRPr="00436442">
        <w:rPr>
          <w:rFonts w:ascii="Arial" w:hAnsi="Arial" w:cs="Arial"/>
          <w:sz w:val="23"/>
          <w:szCs w:val="23"/>
        </w:rPr>
        <w:t>associated with</w:t>
      </w:r>
      <w:r w:rsidR="00510443" w:rsidRPr="00436442">
        <w:rPr>
          <w:rFonts w:ascii="Arial" w:hAnsi="Arial" w:cs="Arial"/>
          <w:sz w:val="23"/>
          <w:szCs w:val="23"/>
        </w:rPr>
        <w:t xml:space="preserve"> the proposed threshold</w:t>
      </w:r>
      <w:r w:rsidRPr="00436442">
        <w:rPr>
          <w:rFonts w:ascii="Arial" w:hAnsi="Arial" w:cs="Arial"/>
          <w:sz w:val="23"/>
          <w:szCs w:val="23"/>
        </w:rPr>
        <w:t>.</w:t>
      </w:r>
    </w:p>
    <w:p w14:paraId="2F2EC7E2" w14:textId="77777777" w:rsidR="002A24D7" w:rsidRPr="00436442" w:rsidRDefault="002A24D7" w:rsidP="002A24D7">
      <w:pPr>
        <w:pStyle w:val="NormalWeb"/>
        <w:spacing w:before="0" w:beforeAutospacing="0" w:after="0" w:afterAutospacing="0"/>
        <w:rPr>
          <w:rFonts w:ascii="Arial" w:hAnsi="Arial" w:cs="Arial"/>
          <w:sz w:val="23"/>
          <w:szCs w:val="23"/>
        </w:rPr>
      </w:pPr>
    </w:p>
    <w:p w14:paraId="4250F781" w14:textId="61F6A63E" w:rsidR="00F56A0C" w:rsidRPr="00436442" w:rsidRDefault="005572A6" w:rsidP="00F56A0C">
      <w:pPr>
        <w:ind w:left="360"/>
        <w:rPr>
          <w:rFonts w:ascii="Arial" w:hAnsi="Arial" w:cs="Arial"/>
          <w:i/>
          <w:iCs/>
          <w:sz w:val="23"/>
          <w:szCs w:val="23"/>
        </w:rPr>
      </w:pPr>
      <w:r>
        <w:rPr>
          <w:rFonts w:ascii="Arial" w:hAnsi="Arial" w:cs="Arial"/>
          <w:i/>
          <w:iCs/>
          <w:sz w:val="23"/>
          <w:szCs w:val="23"/>
        </w:rPr>
        <w:t xml:space="preserve">Impact on </w:t>
      </w:r>
      <w:r w:rsidR="00F56A0C" w:rsidRPr="00436442">
        <w:rPr>
          <w:rFonts w:ascii="Arial" w:hAnsi="Arial" w:cs="Arial"/>
          <w:i/>
          <w:iCs/>
          <w:sz w:val="23"/>
          <w:szCs w:val="23"/>
        </w:rPr>
        <w:t>E</w:t>
      </w:r>
      <w:r w:rsidR="0093357D" w:rsidRPr="00436442">
        <w:rPr>
          <w:rFonts w:ascii="Arial" w:hAnsi="Arial" w:cs="Arial"/>
          <w:i/>
          <w:iCs/>
          <w:sz w:val="23"/>
          <w:szCs w:val="23"/>
        </w:rPr>
        <w:t xml:space="preserve">ducation / </w:t>
      </w:r>
      <w:r>
        <w:rPr>
          <w:rFonts w:ascii="Arial" w:hAnsi="Arial" w:cs="Arial"/>
          <w:i/>
          <w:iCs/>
          <w:sz w:val="23"/>
          <w:szCs w:val="23"/>
        </w:rPr>
        <w:t>E</w:t>
      </w:r>
      <w:r w:rsidR="00F56A0C" w:rsidRPr="00436442">
        <w:rPr>
          <w:rFonts w:ascii="Arial" w:hAnsi="Arial" w:cs="Arial"/>
          <w:i/>
          <w:iCs/>
          <w:sz w:val="23"/>
          <w:szCs w:val="23"/>
        </w:rPr>
        <w:t xml:space="preserve">arly </w:t>
      </w:r>
      <w:r w:rsidR="009C04B8" w:rsidRPr="00436442">
        <w:rPr>
          <w:rFonts w:ascii="Arial" w:hAnsi="Arial" w:cs="Arial"/>
          <w:i/>
          <w:iCs/>
          <w:sz w:val="23"/>
          <w:szCs w:val="23"/>
        </w:rPr>
        <w:t>Learning and Childcare</w:t>
      </w:r>
      <w:r w:rsidR="00F56A0C" w:rsidRPr="00436442">
        <w:rPr>
          <w:rFonts w:ascii="Arial" w:hAnsi="Arial" w:cs="Arial"/>
          <w:i/>
          <w:iCs/>
          <w:sz w:val="23"/>
          <w:szCs w:val="23"/>
        </w:rPr>
        <w:t xml:space="preserve"> </w:t>
      </w:r>
    </w:p>
    <w:p w14:paraId="518C4535" w14:textId="242C8E5C" w:rsidR="005914DB" w:rsidRPr="00436442" w:rsidRDefault="00F56A0C" w:rsidP="009C04B8">
      <w:pPr>
        <w:pStyle w:val="ListParagraph"/>
        <w:numPr>
          <w:ilvl w:val="0"/>
          <w:numId w:val="2"/>
        </w:numPr>
        <w:spacing w:before="100" w:beforeAutospacing="1" w:after="100" w:afterAutospacing="1"/>
        <w:rPr>
          <w:rFonts w:ascii="Arial" w:eastAsia="Times New Roman" w:hAnsi="Arial" w:cs="Arial"/>
          <w:sz w:val="23"/>
          <w:szCs w:val="23"/>
          <w:lang w:eastAsia="en-GB"/>
        </w:rPr>
      </w:pPr>
      <w:r w:rsidRPr="00436442">
        <w:rPr>
          <w:rFonts w:ascii="Arial" w:hAnsi="Arial" w:cs="Arial"/>
          <w:sz w:val="23"/>
          <w:szCs w:val="23"/>
        </w:rPr>
        <w:t xml:space="preserve">The majority of our member </w:t>
      </w:r>
      <w:r w:rsidR="00EF3E28" w:rsidRPr="00436442">
        <w:rPr>
          <w:rFonts w:ascii="Arial" w:hAnsi="Arial" w:cs="Arial"/>
          <w:sz w:val="23"/>
          <w:szCs w:val="23"/>
        </w:rPr>
        <w:t>councils</w:t>
      </w:r>
      <w:r w:rsidRPr="00436442">
        <w:rPr>
          <w:rFonts w:ascii="Arial" w:hAnsi="Arial" w:cs="Arial"/>
          <w:sz w:val="23"/>
          <w:szCs w:val="23"/>
        </w:rPr>
        <w:t xml:space="preserve"> stated </w:t>
      </w:r>
      <w:r w:rsidR="00D9064C" w:rsidRPr="00436442">
        <w:rPr>
          <w:rFonts w:ascii="Arial" w:hAnsi="Arial" w:cs="Arial"/>
          <w:sz w:val="23"/>
          <w:szCs w:val="23"/>
        </w:rPr>
        <w:t xml:space="preserve">their concern about the </w:t>
      </w:r>
      <w:r w:rsidRPr="00436442">
        <w:rPr>
          <w:rFonts w:ascii="Arial" w:hAnsi="Arial" w:cs="Arial"/>
          <w:sz w:val="23"/>
          <w:szCs w:val="23"/>
        </w:rPr>
        <w:t xml:space="preserve">potential impact on </w:t>
      </w:r>
      <w:r w:rsidR="00D9064C" w:rsidRPr="00436442">
        <w:rPr>
          <w:rFonts w:ascii="Arial" w:hAnsi="Arial" w:cs="Arial"/>
          <w:sz w:val="23"/>
          <w:szCs w:val="23"/>
        </w:rPr>
        <w:t xml:space="preserve">the </w:t>
      </w:r>
      <w:r w:rsidRPr="00436442">
        <w:rPr>
          <w:rFonts w:ascii="Arial" w:hAnsi="Arial" w:cs="Arial"/>
          <w:sz w:val="23"/>
          <w:szCs w:val="23"/>
        </w:rPr>
        <w:t xml:space="preserve">early </w:t>
      </w:r>
      <w:r w:rsidR="009C04B8" w:rsidRPr="00436442">
        <w:rPr>
          <w:rFonts w:ascii="Arial" w:hAnsi="Arial" w:cs="Arial"/>
          <w:sz w:val="23"/>
          <w:szCs w:val="23"/>
        </w:rPr>
        <w:t xml:space="preserve">learning and </w:t>
      </w:r>
      <w:r w:rsidRPr="00436442">
        <w:rPr>
          <w:rFonts w:ascii="Arial" w:hAnsi="Arial" w:cs="Arial"/>
          <w:sz w:val="23"/>
          <w:szCs w:val="23"/>
        </w:rPr>
        <w:t xml:space="preserve">childcare workforce. </w:t>
      </w:r>
      <w:r w:rsidR="00D9064C" w:rsidRPr="00436442">
        <w:rPr>
          <w:rFonts w:ascii="Arial" w:hAnsi="Arial" w:cs="Arial"/>
          <w:sz w:val="23"/>
          <w:szCs w:val="23"/>
        </w:rPr>
        <w:t xml:space="preserve"> </w:t>
      </w:r>
      <w:r w:rsidR="009C04B8" w:rsidRPr="00436442">
        <w:rPr>
          <w:rFonts w:ascii="Arial" w:eastAsia="Times New Roman" w:hAnsi="Arial" w:cs="Arial"/>
          <w:sz w:val="23"/>
          <w:szCs w:val="23"/>
        </w:rPr>
        <w:t>Scottish Government has committed to almost double the entitlement to free Early Learning and Childcare (ELC) to 1</w:t>
      </w:r>
      <w:r w:rsidR="00D9064C" w:rsidRPr="00436442">
        <w:rPr>
          <w:rFonts w:ascii="Arial" w:eastAsia="Times New Roman" w:hAnsi="Arial" w:cs="Arial"/>
          <w:sz w:val="23"/>
          <w:szCs w:val="23"/>
        </w:rPr>
        <w:t>,</w:t>
      </w:r>
      <w:r w:rsidR="009C04B8" w:rsidRPr="00436442">
        <w:rPr>
          <w:rFonts w:ascii="Arial" w:eastAsia="Times New Roman" w:hAnsi="Arial" w:cs="Arial"/>
          <w:sz w:val="23"/>
          <w:szCs w:val="23"/>
        </w:rPr>
        <w:t xml:space="preserve">140 hours per year by 2020 for all three and four year olds and eligible two year olds. Estimated figures on the increase </w:t>
      </w:r>
      <w:r w:rsidR="00F65B24" w:rsidRPr="00436442">
        <w:rPr>
          <w:rFonts w:ascii="Arial" w:eastAsia="Times New Roman" w:hAnsi="Arial" w:cs="Arial"/>
          <w:sz w:val="23"/>
          <w:szCs w:val="23"/>
        </w:rPr>
        <w:t>in</w:t>
      </w:r>
      <w:r w:rsidR="005914DB" w:rsidRPr="00436442">
        <w:rPr>
          <w:rFonts w:ascii="Arial" w:eastAsia="Times New Roman" w:hAnsi="Arial" w:cs="Arial"/>
          <w:sz w:val="23"/>
          <w:szCs w:val="23"/>
        </w:rPr>
        <w:t xml:space="preserve"> the</w:t>
      </w:r>
      <w:r w:rsidR="009C04B8" w:rsidRPr="00436442">
        <w:rPr>
          <w:rFonts w:ascii="Arial" w:eastAsia="Times New Roman" w:hAnsi="Arial" w:cs="Arial"/>
          <w:sz w:val="23"/>
          <w:szCs w:val="23"/>
        </w:rPr>
        <w:t xml:space="preserve"> workforce</w:t>
      </w:r>
      <w:r w:rsidR="005914DB" w:rsidRPr="00436442">
        <w:rPr>
          <w:rFonts w:ascii="Arial" w:eastAsia="Times New Roman" w:hAnsi="Arial" w:cs="Arial"/>
          <w:sz w:val="23"/>
          <w:szCs w:val="23"/>
        </w:rPr>
        <w:t xml:space="preserve"> that will be</w:t>
      </w:r>
      <w:r w:rsidR="009C04B8" w:rsidRPr="00436442">
        <w:rPr>
          <w:rFonts w:ascii="Arial" w:eastAsia="Times New Roman" w:hAnsi="Arial" w:cs="Arial"/>
          <w:sz w:val="23"/>
          <w:szCs w:val="23"/>
        </w:rPr>
        <w:t xml:space="preserve"> required range from 8,000 to 20,000</w:t>
      </w:r>
      <w:r w:rsidR="000111D3" w:rsidRPr="00436442">
        <w:rPr>
          <w:rFonts w:ascii="Arial" w:eastAsia="Times New Roman" w:hAnsi="Arial" w:cs="Arial"/>
          <w:sz w:val="23"/>
          <w:szCs w:val="23"/>
        </w:rPr>
        <w:t>.</w:t>
      </w:r>
      <w:r w:rsidR="000111D3" w:rsidRPr="00436442">
        <w:rPr>
          <w:rStyle w:val="FootnoteReference"/>
          <w:rFonts w:ascii="Arial" w:eastAsia="Times New Roman" w:hAnsi="Arial" w:cs="Arial"/>
          <w:sz w:val="23"/>
          <w:szCs w:val="23"/>
        </w:rPr>
        <w:footnoteReference w:id="4"/>
      </w:r>
      <w:r w:rsidR="000111D3" w:rsidRPr="00436442">
        <w:rPr>
          <w:rFonts w:ascii="Arial" w:eastAsia="Times New Roman" w:hAnsi="Arial" w:cs="Arial"/>
          <w:sz w:val="23"/>
          <w:szCs w:val="23"/>
        </w:rPr>
        <w:t xml:space="preserve"> </w:t>
      </w:r>
      <w:r w:rsidR="00EF3E28" w:rsidRPr="00436442">
        <w:rPr>
          <w:rFonts w:ascii="Arial" w:eastAsia="Times New Roman" w:hAnsi="Arial" w:cs="Arial"/>
          <w:sz w:val="23"/>
          <w:szCs w:val="23"/>
        </w:rPr>
        <w:t xml:space="preserve"> </w:t>
      </w:r>
      <w:r w:rsidR="009C04B8" w:rsidRPr="00436442">
        <w:rPr>
          <w:rFonts w:ascii="Arial" w:eastAsia="Times New Roman" w:hAnsi="Arial" w:cs="Arial"/>
          <w:sz w:val="23"/>
          <w:szCs w:val="23"/>
        </w:rPr>
        <w:t xml:space="preserve">It is anticipated that this will create further pressures in terms of seeking early years practitioners to </w:t>
      </w:r>
      <w:r w:rsidR="005914DB" w:rsidRPr="00436442">
        <w:rPr>
          <w:rFonts w:ascii="Arial" w:eastAsia="Times New Roman" w:hAnsi="Arial" w:cs="Arial"/>
          <w:sz w:val="23"/>
          <w:szCs w:val="23"/>
        </w:rPr>
        <w:t>fill</w:t>
      </w:r>
      <w:r w:rsidR="009C04B8" w:rsidRPr="00436442">
        <w:rPr>
          <w:rFonts w:ascii="Arial" w:eastAsia="Times New Roman" w:hAnsi="Arial" w:cs="Arial"/>
          <w:sz w:val="23"/>
          <w:szCs w:val="23"/>
        </w:rPr>
        <w:t xml:space="preserve"> these roles.</w:t>
      </w:r>
    </w:p>
    <w:p w14:paraId="06CE1328" w14:textId="20C8C723" w:rsidR="009C04B8" w:rsidRPr="00436442" w:rsidRDefault="009C04B8" w:rsidP="005914DB">
      <w:pPr>
        <w:pStyle w:val="ListParagraph"/>
        <w:spacing w:before="100" w:beforeAutospacing="1" w:after="100" w:afterAutospacing="1"/>
        <w:ind w:left="360"/>
        <w:rPr>
          <w:rFonts w:ascii="Arial" w:eastAsia="Times New Roman" w:hAnsi="Arial" w:cs="Arial"/>
          <w:sz w:val="23"/>
          <w:szCs w:val="23"/>
          <w:lang w:eastAsia="en-GB"/>
        </w:rPr>
      </w:pPr>
      <w:r w:rsidRPr="00436442">
        <w:rPr>
          <w:rFonts w:ascii="Arial" w:eastAsia="Times New Roman" w:hAnsi="Arial" w:cs="Arial"/>
          <w:sz w:val="23"/>
          <w:szCs w:val="23"/>
        </w:rPr>
        <w:t> </w:t>
      </w:r>
    </w:p>
    <w:p w14:paraId="6D4D8CC6" w14:textId="1C236E3A" w:rsidR="009C04B8" w:rsidRPr="00436442" w:rsidRDefault="009C04B8" w:rsidP="009C04B8">
      <w:pPr>
        <w:pStyle w:val="ListParagraph"/>
        <w:numPr>
          <w:ilvl w:val="0"/>
          <w:numId w:val="2"/>
        </w:numPr>
        <w:rPr>
          <w:rFonts w:ascii="Arial" w:hAnsi="Arial" w:cs="Arial"/>
          <w:sz w:val="23"/>
          <w:szCs w:val="23"/>
        </w:rPr>
      </w:pPr>
      <w:r w:rsidRPr="00436442">
        <w:rPr>
          <w:rFonts w:ascii="Arial" w:hAnsi="Arial" w:cs="Arial"/>
          <w:sz w:val="23"/>
          <w:szCs w:val="23"/>
        </w:rPr>
        <w:t xml:space="preserve">East Lothian is </w:t>
      </w:r>
      <w:r w:rsidR="002A2B1C" w:rsidRPr="00436442">
        <w:rPr>
          <w:rFonts w:ascii="Arial" w:hAnsi="Arial" w:cs="Arial"/>
          <w:sz w:val="23"/>
          <w:szCs w:val="23"/>
        </w:rPr>
        <w:t xml:space="preserve">one </w:t>
      </w:r>
      <w:r w:rsidR="005B09C3" w:rsidRPr="00436442">
        <w:rPr>
          <w:rFonts w:ascii="Arial" w:hAnsi="Arial" w:cs="Arial"/>
          <w:sz w:val="23"/>
          <w:szCs w:val="23"/>
        </w:rPr>
        <w:t xml:space="preserve">of the </w:t>
      </w:r>
      <w:r w:rsidR="002A2B1C" w:rsidRPr="00436442">
        <w:rPr>
          <w:rFonts w:ascii="Arial" w:hAnsi="Arial" w:cs="Arial"/>
          <w:sz w:val="23"/>
          <w:szCs w:val="23"/>
        </w:rPr>
        <w:t>council</w:t>
      </w:r>
      <w:r w:rsidR="000A26A3" w:rsidRPr="00436442">
        <w:rPr>
          <w:rFonts w:ascii="Arial" w:hAnsi="Arial" w:cs="Arial"/>
          <w:sz w:val="23"/>
          <w:szCs w:val="23"/>
        </w:rPr>
        <w:t>s</w:t>
      </w:r>
      <w:r w:rsidR="002A2B1C" w:rsidRPr="00436442">
        <w:rPr>
          <w:rFonts w:ascii="Arial" w:hAnsi="Arial" w:cs="Arial"/>
          <w:sz w:val="23"/>
          <w:szCs w:val="23"/>
        </w:rPr>
        <w:t xml:space="preserve"> that </w:t>
      </w:r>
      <w:r w:rsidR="005D35C8" w:rsidRPr="00436442">
        <w:rPr>
          <w:rFonts w:ascii="Arial" w:hAnsi="Arial" w:cs="Arial"/>
          <w:sz w:val="23"/>
          <w:szCs w:val="23"/>
        </w:rPr>
        <w:t>has raised</w:t>
      </w:r>
      <w:r w:rsidR="002A2B1C" w:rsidRPr="00436442">
        <w:rPr>
          <w:rFonts w:ascii="Arial" w:hAnsi="Arial" w:cs="Arial"/>
          <w:sz w:val="23"/>
          <w:szCs w:val="23"/>
        </w:rPr>
        <w:t xml:space="preserve"> particular </w:t>
      </w:r>
      <w:r w:rsidRPr="00436442">
        <w:rPr>
          <w:rFonts w:ascii="Arial" w:hAnsi="Arial" w:cs="Arial"/>
          <w:sz w:val="23"/>
          <w:szCs w:val="23"/>
        </w:rPr>
        <w:t>concern</w:t>
      </w:r>
      <w:r w:rsidR="005D35C8" w:rsidRPr="00436442">
        <w:rPr>
          <w:rFonts w:ascii="Arial" w:hAnsi="Arial" w:cs="Arial"/>
          <w:sz w:val="23"/>
          <w:szCs w:val="23"/>
        </w:rPr>
        <w:t>s</w:t>
      </w:r>
      <w:r w:rsidRPr="00436442">
        <w:rPr>
          <w:rFonts w:ascii="Arial" w:hAnsi="Arial" w:cs="Arial"/>
          <w:sz w:val="23"/>
          <w:szCs w:val="23"/>
        </w:rPr>
        <w:t xml:space="preserve"> that employers will be dependent on the current UK population to fill these roles.  </w:t>
      </w:r>
      <w:r w:rsidR="00D74808" w:rsidRPr="00436442">
        <w:rPr>
          <w:rFonts w:ascii="Arial" w:hAnsi="Arial" w:cs="Arial"/>
          <w:sz w:val="23"/>
          <w:szCs w:val="23"/>
        </w:rPr>
        <w:t xml:space="preserve">As a semi-rural council area, </w:t>
      </w:r>
      <w:r w:rsidR="00D74808" w:rsidRPr="00436442">
        <w:rPr>
          <w:rFonts w:ascii="Arial" w:eastAsia="Times New Roman" w:hAnsi="Arial" w:cs="Arial"/>
          <w:sz w:val="23"/>
          <w:szCs w:val="23"/>
          <w:lang w:eastAsia="en-GB"/>
        </w:rPr>
        <w:t>t</w:t>
      </w:r>
      <w:r w:rsidRPr="00436442">
        <w:rPr>
          <w:rFonts w:ascii="Arial" w:eastAsia="Times New Roman" w:hAnsi="Arial" w:cs="Arial"/>
          <w:sz w:val="23"/>
          <w:szCs w:val="23"/>
          <w:lang w:eastAsia="en-GB"/>
        </w:rPr>
        <w:t>he increase in early education roles as a result of 1</w:t>
      </w:r>
      <w:r w:rsidR="00EF3E28" w:rsidRPr="00436442">
        <w:rPr>
          <w:rFonts w:ascii="Arial" w:eastAsia="Times New Roman" w:hAnsi="Arial" w:cs="Arial"/>
          <w:sz w:val="23"/>
          <w:szCs w:val="23"/>
          <w:lang w:eastAsia="en-GB"/>
        </w:rPr>
        <w:t>,</w:t>
      </w:r>
      <w:r w:rsidRPr="00436442">
        <w:rPr>
          <w:rFonts w:ascii="Arial" w:eastAsia="Times New Roman" w:hAnsi="Arial" w:cs="Arial"/>
          <w:sz w:val="23"/>
          <w:szCs w:val="23"/>
          <w:lang w:eastAsia="en-GB"/>
        </w:rPr>
        <w:t xml:space="preserve">140 hours could be </w:t>
      </w:r>
      <w:r w:rsidR="005D35C8" w:rsidRPr="00436442">
        <w:rPr>
          <w:rFonts w:ascii="Arial" w:eastAsia="Times New Roman" w:hAnsi="Arial" w:cs="Arial"/>
          <w:sz w:val="23"/>
          <w:szCs w:val="23"/>
          <w:lang w:eastAsia="en-GB"/>
        </w:rPr>
        <w:t>challenging</w:t>
      </w:r>
      <w:r w:rsidR="000E00C8" w:rsidRPr="00436442">
        <w:rPr>
          <w:rFonts w:ascii="Arial" w:eastAsia="Times New Roman" w:hAnsi="Arial" w:cs="Arial"/>
          <w:sz w:val="23"/>
          <w:szCs w:val="23"/>
          <w:lang w:eastAsia="en-GB"/>
        </w:rPr>
        <w:t xml:space="preserve"> to manage</w:t>
      </w:r>
      <w:r w:rsidRPr="00436442">
        <w:rPr>
          <w:rFonts w:ascii="Arial" w:eastAsia="Times New Roman" w:hAnsi="Arial" w:cs="Arial"/>
          <w:sz w:val="23"/>
          <w:szCs w:val="23"/>
          <w:lang w:eastAsia="en-GB"/>
        </w:rPr>
        <w:t xml:space="preserve">, as they are potentially more reliant upon the residents of </w:t>
      </w:r>
      <w:r w:rsidRPr="00436442">
        <w:rPr>
          <w:rFonts w:ascii="Arial" w:eastAsia="Times New Roman" w:hAnsi="Arial" w:cs="Arial"/>
          <w:sz w:val="23"/>
          <w:szCs w:val="23"/>
          <w:lang w:eastAsia="en-GB"/>
        </w:rPr>
        <w:lastRenderedPageBreak/>
        <w:t xml:space="preserve">East Lothian to fill these roles (given salary and travel). </w:t>
      </w:r>
      <w:r w:rsidR="000E00C8" w:rsidRPr="00436442">
        <w:rPr>
          <w:rFonts w:ascii="Arial" w:eastAsia="Times New Roman" w:hAnsi="Arial" w:cs="Arial"/>
          <w:sz w:val="23"/>
          <w:szCs w:val="23"/>
          <w:lang w:eastAsia="en-GB"/>
        </w:rPr>
        <w:t xml:space="preserve"> </w:t>
      </w:r>
      <w:r w:rsidR="00BC4185" w:rsidRPr="00436442">
        <w:rPr>
          <w:rFonts w:ascii="Arial" w:eastAsia="Times New Roman" w:hAnsi="Arial" w:cs="Arial"/>
          <w:sz w:val="23"/>
          <w:szCs w:val="23"/>
          <w:lang w:eastAsia="en-GB"/>
        </w:rPr>
        <w:t>T</w:t>
      </w:r>
      <w:r w:rsidRPr="00436442">
        <w:rPr>
          <w:rFonts w:ascii="Arial" w:eastAsia="Times New Roman" w:hAnsi="Arial" w:cs="Arial"/>
          <w:sz w:val="23"/>
          <w:szCs w:val="23"/>
          <w:lang w:eastAsia="en-GB"/>
        </w:rPr>
        <w:t>he increased number of new build homes across East Lothian may improve/increase th</w:t>
      </w:r>
      <w:r w:rsidR="000241D2" w:rsidRPr="00436442">
        <w:rPr>
          <w:rFonts w:ascii="Arial" w:eastAsia="Times New Roman" w:hAnsi="Arial" w:cs="Arial"/>
          <w:sz w:val="23"/>
          <w:szCs w:val="23"/>
          <w:lang w:eastAsia="en-GB"/>
        </w:rPr>
        <w:t>e</w:t>
      </w:r>
      <w:r w:rsidRPr="00436442">
        <w:rPr>
          <w:rFonts w:ascii="Arial" w:eastAsia="Times New Roman" w:hAnsi="Arial" w:cs="Arial"/>
          <w:sz w:val="23"/>
          <w:szCs w:val="23"/>
          <w:lang w:eastAsia="en-GB"/>
        </w:rPr>
        <w:t xml:space="preserve"> pool of potential employees</w:t>
      </w:r>
      <w:r w:rsidR="00BC4185" w:rsidRPr="00436442">
        <w:rPr>
          <w:rFonts w:ascii="Arial" w:eastAsia="Times New Roman" w:hAnsi="Arial" w:cs="Arial"/>
          <w:sz w:val="23"/>
          <w:szCs w:val="23"/>
          <w:lang w:eastAsia="en-GB"/>
        </w:rPr>
        <w:t>, but</w:t>
      </w:r>
      <w:r w:rsidRPr="00436442">
        <w:rPr>
          <w:rFonts w:ascii="Arial" w:eastAsia="Times New Roman" w:hAnsi="Arial" w:cs="Arial"/>
          <w:sz w:val="23"/>
          <w:szCs w:val="23"/>
          <w:lang w:eastAsia="en-GB"/>
        </w:rPr>
        <w:t xml:space="preserve"> this does not detract from the fact that </w:t>
      </w:r>
      <w:r w:rsidR="00BC4185" w:rsidRPr="00436442">
        <w:rPr>
          <w:rFonts w:ascii="Arial" w:eastAsia="Times New Roman" w:hAnsi="Arial" w:cs="Arial"/>
          <w:sz w:val="23"/>
          <w:szCs w:val="23"/>
          <w:lang w:eastAsia="en-GB"/>
        </w:rPr>
        <w:t>they</w:t>
      </w:r>
      <w:r w:rsidRPr="00436442">
        <w:rPr>
          <w:rFonts w:ascii="Arial" w:eastAsia="Times New Roman" w:hAnsi="Arial" w:cs="Arial"/>
          <w:sz w:val="23"/>
          <w:szCs w:val="23"/>
          <w:lang w:eastAsia="en-GB"/>
        </w:rPr>
        <w:t xml:space="preserve"> would potentially </w:t>
      </w:r>
      <w:r w:rsidR="00182ABA" w:rsidRPr="00436442">
        <w:rPr>
          <w:rFonts w:ascii="Arial" w:eastAsia="Times New Roman" w:hAnsi="Arial" w:cs="Arial"/>
          <w:sz w:val="23"/>
          <w:szCs w:val="23"/>
          <w:lang w:eastAsia="en-GB"/>
        </w:rPr>
        <w:t xml:space="preserve">be </w:t>
      </w:r>
      <w:r w:rsidRPr="00436442">
        <w:rPr>
          <w:rFonts w:ascii="Arial" w:eastAsia="Times New Roman" w:hAnsi="Arial" w:cs="Arial"/>
          <w:sz w:val="23"/>
          <w:szCs w:val="23"/>
          <w:lang w:eastAsia="en-GB"/>
        </w:rPr>
        <w:t xml:space="preserve">competing against </w:t>
      </w:r>
      <w:r w:rsidR="0088768C" w:rsidRPr="00436442">
        <w:rPr>
          <w:rFonts w:ascii="Arial" w:eastAsia="Times New Roman" w:hAnsi="Arial" w:cs="Arial"/>
          <w:sz w:val="23"/>
          <w:szCs w:val="23"/>
          <w:lang w:eastAsia="en-GB"/>
        </w:rPr>
        <w:t>neighbouring</w:t>
      </w:r>
      <w:r w:rsidRPr="00436442">
        <w:rPr>
          <w:rFonts w:ascii="Arial" w:eastAsia="Times New Roman" w:hAnsi="Arial" w:cs="Arial"/>
          <w:sz w:val="23"/>
          <w:szCs w:val="23"/>
          <w:lang w:eastAsia="en-GB"/>
        </w:rPr>
        <w:t xml:space="preserve"> </w:t>
      </w:r>
      <w:r w:rsidR="0088768C" w:rsidRPr="00436442">
        <w:rPr>
          <w:rFonts w:ascii="Arial" w:eastAsia="Times New Roman" w:hAnsi="Arial" w:cs="Arial"/>
          <w:sz w:val="23"/>
          <w:szCs w:val="23"/>
          <w:lang w:eastAsia="en-GB"/>
        </w:rPr>
        <w:t xml:space="preserve">councils </w:t>
      </w:r>
      <w:r w:rsidRPr="00436442">
        <w:rPr>
          <w:rFonts w:ascii="Arial" w:eastAsia="Times New Roman" w:hAnsi="Arial" w:cs="Arial"/>
          <w:sz w:val="23"/>
          <w:szCs w:val="23"/>
          <w:lang w:eastAsia="en-GB"/>
        </w:rPr>
        <w:t>for these workers.</w:t>
      </w:r>
    </w:p>
    <w:p w14:paraId="0DAD392D" w14:textId="77777777" w:rsidR="000D65D9" w:rsidRPr="00436442" w:rsidRDefault="000D65D9" w:rsidP="000D65D9">
      <w:pPr>
        <w:rPr>
          <w:rFonts w:ascii="Arial" w:hAnsi="Arial" w:cs="Arial"/>
          <w:sz w:val="23"/>
          <w:szCs w:val="23"/>
        </w:rPr>
      </w:pPr>
    </w:p>
    <w:p w14:paraId="5CD93FDE" w14:textId="783A4743" w:rsidR="009C04B8" w:rsidRPr="00436442" w:rsidRDefault="009C04B8" w:rsidP="009C04B8">
      <w:pPr>
        <w:pStyle w:val="ListParagraph"/>
        <w:numPr>
          <w:ilvl w:val="0"/>
          <w:numId w:val="2"/>
        </w:numPr>
        <w:rPr>
          <w:rFonts w:ascii="Arial" w:hAnsi="Arial" w:cs="Arial"/>
          <w:sz w:val="23"/>
          <w:szCs w:val="23"/>
        </w:rPr>
      </w:pPr>
      <w:r w:rsidRPr="00436442">
        <w:rPr>
          <w:rFonts w:ascii="Arial" w:hAnsi="Arial" w:cs="Arial"/>
          <w:sz w:val="23"/>
          <w:szCs w:val="23"/>
        </w:rPr>
        <w:t xml:space="preserve">East Renfrewshire </w:t>
      </w:r>
      <w:r w:rsidR="00BB0293" w:rsidRPr="00436442">
        <w:rPr>
          <w:rFonts w:ascii="Arial" w:eastAsia="Times New Roman" w:hAnsi="Arial" w:cs="Arial"/>
          <w:sz w:val="23"/>
          <w:szCs w:val="23"/>
          <w:lang w:eastAsia="en-GB"/>
        </w:rPr>
        <w:t>flagged the roles of</w:t>
      </w:r>
      <w:r w:rsidRPr="00436442">
        <w:rPr>
          <w:rFonts w:ascii="Arial" w:eastAsia="Times New Roman" w:hAnsi="Arial" w:cs="Arial"/>
          <w:sz w:val="23"/>
          <w:szCs w:val="23"/>
          <w:lang w:eastAsia="en-GB"/>
        </w:rPr>
        <w:t xml:space="preserve"> Early Years Officers within school nurseries and Pupil Support Assistants who support pupils with additional support needs.  </w:t>
      </w:r>
      <w:r w:rsidR="00621A70" w:rsidRPr="00436442">
        <w:rPr>
          <w:rFonts w:ascii="Arial" w:eastAsia="Times New Roman" w:hAnsi="Arial" w:cs="Arial"/>
          <w:sz w:val="23"/>
          <w:szCs w:val="23"/>
          <w:lang w:eastAsia="en-GB"/>
        </w:rPr>
        <w:t>There are EU nationals fulfilling b</w:t>
      </w:r>
      <w:r w:rsidRPr="00436442">
        <w:rPr>
          <w:rFonts w:ascii="Arial" w:eastAsia="Times New Roman" w:hAnsi="Arial" w:cs="Arial"/>
          <w:sz w:val="23"/>
          <w:szCs w:val="23"/>
          <w:lang w:eastAsia="en-GB"/>
        </w:rPr>
        <w:t xml:space="preserve">oth roles </w:t>
      </w:r>
      <w:r w:rsidR="00621A70" w:rsidRPr="00436442">
        <w:rPr>
          <w:rFonts w:ascii="Arial" w:eastAsia="Times New Roman" w:hAnsi="Arial" w:cs="Arial"/>
          <w:sz w:val="23"/>
          <w:szCs w:val="23"/>
          <w:lang w:eastAsia="en-GB"/>
        </w:rPr>
        <w:t xml:space="preserve">at present and, while they </w:t>
      </w:r>
      <w:r w:rsidRPr="00436442">
        <w:rPr>
          <w:rFonts w:ascii="Arial" w:eastAsia="Times New Roman" w:hAnsi="Arial" w:cs="Arial"/>
          <w:sz w:val="23"/>
          <w:szCs w:val="23"/>
          <w:lang w:eastAsia="en-GB"/>
        </w:rPr>
        <w:t>meet the proposed qualification threshold</w:t>
      </w:r>
      <w:r w:rsidR="00621A70" w:rsidRPr="00436442">
        <w:rPr>
          <w:rFonts w:ascii="Arial" w:eastAsia="Times New Roman" w:hAnsi="Arial" w:cs="Arial"/>
          <w:sz w:val="23"/>
          <w:szCs w:val="23"/>
          <w:lang w:eastAsia="en-GB"/>
        </w:rPr>
        <w:t>, the</w:t>
      </w:r>
      <w:r w:rsidR="00F430C0" w:rsidRPr="00436442">
        <w:rPr>
          <w:rFonts w:ascii="Arial" w:eastAsia="Times New Roman" w:hAnsi="Arial" w:cs="Arial"/>
          <w:sz w:val="23"/>
          <w:szCs w:val="23"/>
          <w:lang w:eastAsia="en-GB"/>
        </w:rPr>
        <w:t xml:space="preserve"> roles</w:t>
      </w:r>
      <w:r w:rsidR="00621A70" w:rsidRPr="00436442">
        <w:rPr>
          <w:rFonts w:ascii="Arial" w:eastAsia="Times New Roman" w:hAnsi="Arial" w:cs="Arial"/>
          <w:sz w:val="23"/>
          <w:szCs w:val="23"/>
          <w:lang w:eastAsia="en-GB"/>
        </w:rPr>
        <w:t xml:space="preserve"> do not meet</w:t>
      </w:r>
      <w:r w:rsidRPr="00436442">
        <w:rPr>
          <w:rFonts w:ascii="Arial" w:eastAsia="Times New Roman" w:hAnsi="Arial" w:cs="Arial"/>
          <w:sz w:val="23"/>
          <w:szCs w:val="23"/>
          <w:lang w:eastAsia="en-GB"/>
        </w:rPr>
        <w:t xml:space="preserve"> £30,000 salary</w:t>
      </w:r>
      <w:r w:rsidR="00B97404" w:rsidRPr="00436442">
        <w:rPr>
          <w:rFonts w:ascii="Arial" w:eastAsia="Times New Roman" w:hAnsi="Arial" w:cs="Arial"/>
          <w:sz w:val="23"/>
          <w:szCs w:val="23"/>
          <w:lang w:eastAsia="en-GB"/>
        </w:rPr>
        <w:t xml:space="preserve"> threshold</w:t>
      </w:r>
      <w:r w:rsidRPr="00436442">
        <w:rPr>
          <w:rFonts w:ascii="Arial" w:eastAsia="Times New Roman" w:hAnsi="Arial" w:cs="Arial"/>
          <w:sz w:val="23"/>
          <w:szCs w:val="23"/>
          <w:lang w:eastAsia="en-GB"/>
        </w:rPr>
        <w:t>.</w:t>
      </w:r>
      <w:r w:rsidR="005946B0" w:rsidRPr="00436442">
        <w:rPr>
          <w:rFonts w:ascii="Arial" w:eastAsia="Times New Roman" w:hAnsi="Arial" w:cs="Arial"/>
          <w:sz w:val="23"/>
          <w:szCs w:val="23"/>
          <w:lang w:eastAsia="en-GB"/>
        </w:rPr>
        <w:t xml:space="preserve">  East Renfrewshire Council</w:t>
      </w:r>
      <w:r w:rsidRPr="00436442">
        <w:rPr>
          <w:rFonts w:ascii="Arial" w:eastAsia="Times New Roman" w:hAnsi="Arial" w:cs="Arial"/>
          <w:sz w:val="23"/>
          <w:szCs w:val="23"/>
          <w:lang w:eastAsia="en-GB"/>
        </w:rPr>
        <w:t xml:space="preserve"> </w:t>
      </w:r>
      <w:r w:rsidR="00AB1979" w:rsidRPr="00436442">
        <w:rPr>
          <w:rFonts w:ascii="Arial" w:eastAsia="Times New Roman" w:hAnsi="Arial" w:cs="Arial"/>
          <w:sz w:val="23"/>
          <w:szCs w:val="23"/>
          <w:lang w:eastAsia="en-GB"/>
        </w:rPr>
        <w:t>ha</w:t>
      </w:r>
      <w:r w:rsidR="005946B0" w:rsidRPr="00436442">
        <w:rPr>
          <w:rFonts w:ascii="Arial" w:eastAsia="Times New Roman" w:hAnsi="Arial" w:cs="Arial"/>
          <w:sz w:val="23"/>
          <w:szCs w:val="23"/>
          <w:lang w:eastAsia="en-GB"/>
        </w:rPr>
        <w:t>s</w:t>
      </w:r>
      <w:r w:rsidR="00AB1979" w:rsidRPr="00436442">
        <w:rPr>
          <w:rFonts w:ascii="Arial" w:eastAsia="Times New Roman" w:hAnsi="Arial" w:cs="Arial"/>
          <w:sz w:val="23"/>
          <w:szCs w:val="23"/>
          <w:lang w:eastAsia="en-GB"/>
        </w:rPr>
        <w:t xml:space="preserve"> </w:t>
      </w:r>
      <w:r w:rsidRPr="00436442">
        <w:rPr>
          <w:rFonts w:ascii="Arial" w:eastAsia="Times New Roman" w:hAnsi="Arial" w:cs="Arial"/>
          <w:sz w:val="23"/>
          <w:szCs w:val="23"/>
          <w:lang w:eastAsia="en-GB"/>
        </w:rPr>
        <w:t>also highlight</w:t>
      </w:r>
      <w:r w:rsidR="00AB1979" w:rsidRPr="00436442">
        <w:rPr>
          <w:rFonts w:ascii="Arial" w:eastAsia="Times New Roman" w:hAnsi="Arial" w:cs="Arial"/>
          <w:sz w:val="23"/>
          <w:szCs w:val="23"/>
          <w:lang w:eastAsia="en-GB"/>
        </w:rPr>
        <w:t>ed</w:t>
      </w:r>
      <w:r w:rsidRPr="00436442">
        <w:rPr>
          <w:rFonts w:ascii="Arial" w:eastAsia="Times New Roman" w:hAnsi="Arial" w:cs="Arial"/>
          <w:sz w:val="23"/>
          <w:szCs w:val="23"/>
          <w:lang w:eastAsia="en-GB"/>
        </w:rPr>
        <w:t xml:space="preserve"> the need to recruit additional Early Year Officers following the Scottish Government decision to increase the early years provision from August 2020.</w:t>
      </w:r>
    </w:p>
    <w:p w14:paraId="38B74B8E" w14:textId="77777777" w:rsidR="00AB1979" w:rsidRPr="00436442" w:rsidRDefault="00AB1979" w:rsidP="00AB1979">
      <w:pPr>
        <w:rPr>
          <w:rFonts w:ascii="Arial" w:hAnsi="Arial" w:cs="Arial"/>
          <w:sz w:val="23"/>
          <w:szCs w:val="23"/>
        </w:rPr>
      </w:pPr>
    </w:p>
    <w:p w14:paraId="1072363A" w14:textId="59ED15B4" w:rsidR="0093357D" w:rsidRPr="00436442" w:rsidRDefault="0093357D" w:rsidP="0093357D">
      <w:pPr>
        <w:pStyle w:val="ListParagraph"/>
        <w:numPr>
          <w:ilvl w:val="0"/>
          <w:numId w:val="2"/>
        </w:numPr>
        <w:rPr>
          <w:rFonts w:ascii="Arial" w:eastAsia="Arial" w:hAnsi="Arial" w:cs="Arial"/>
          <w:sz w:val="23"/>
          <w:szCs w:val="23"/>
        </w:rPr>
      </w:pPr>
      <w:r w:rsidRPr="00436442">
        <w:rPr>
          <w:rFonts w:ascii="Arial" w:eastAsia="Arial" w:hAnsi="Arial" w:cs="Arial"/>
          <w:sz w:val="23"/>
          <w:szCs w:val="23"/>
        </w:rPr>
        <w:t xml:space="preserve">Aberdeen City </w:t>
      </w:r>
      <w:r w:rsidR="005946B0" w:rsidRPr="00436442">
        <w:rPr>
          <w:rFonts w:ascii="Arial" w:eastAsia="Arial" w:hAnsi="Arial" w:cs="Arial"/>
          <w:sz w:val="23"/>
          <w:szCs w:val="23"/>
        </w:rPr>
        <w:t xml:space="preserve">Council </w:t>
      </w:r>
      <w:r w:rsidRPr="00436442">
        <w:rPr>
          <w:rFonts w:ascii="Arial" w:eastAsia="Arial" w:hAnsi="Arial" w:cs="Arial"/>
          <w:sz w:val="23"/>
          <w:szCs w:val="23"/>
        </w:rPr>
        <w:t>state</w:t>
      </w:r>
      <w:r w:rsidR="005946B0" w:rsidRPr="00436442">
        <w:rPr>
          <w:rFonts w:ascii="Arial" w:eastAsia="Arial" w:hAnsi="Arial" w:cs="Arial"/>
          <w:sz w:val="23"/>
          <w:szCs w:val="23"/>
        </w:rPr>
        <w:t>s that</w:t>
      </w:r>
      <w:r w:rsidRPr="00436442">
        <w:rPr>
          <w:rFonts w:ascii="Arial" w:eastAsia="Arial" w:hAnsi="Arial" w:cs="Arial"/>
          <w:sz w:val="23"/>
          <w:szCs w:val="23"/>
        </w:rPr>
        <w:t xml:space="preserve"> the salary threshold</w:t>
      </w:r>
      <w:r w:rsidR="005946B0" w:rsidRPr="00436442">
        <w:rPr>
          <w:rFonts w:ascii="Arial" w:eastAsia="Arial" w:hAnsi="Arial" w:cs="Arial"/>
          <w:sz w:val="23"/>
          <w:szCs w:val="23"/>
        </w:rPr>
        <w:t>,</w:t>
      </w:r>
      <w:r w:rsidRPr="00436442">
        <w:rPr>
          <w:rFonts w:ascii="Arial" w:eastAsia="Arial" w:hAnsi="Arial" w:cs="Arial"/>
          <w:sz w:val="23"/>
          <w:szCs w:val="23"/>
        </w:rPr>
        <w:t xml:space="preserve"> if extended to EEA nationals, will impact on their ability to sponsor probationary teachers for one year while they gain their full teaching registration with the G</w:t>
      </w:r>
      <w:r w:rsidR="00CA31C5" w:rsidRPr="00436442">
        <w:rPr>
          <w:rFonts w:ascii="Arial" w:eastAsia="Arial" w:hAnsi="Arial" w:cs="Arial"/>
          <w:sz w:val="23"/>
          <w:szCs w:val="23"/>
        </w:rPr>
        <w:t xml:space="preserve">eneral Teaching </w:t>
      </w:r>
      <w:r w:rsidRPr="00436442">
        <w:rPr>
          <w:rFonts w:ascii="Arial" w:eastAsia="Arial" w:hAnsi="Arial" w:cs="Arial"/>
          <w:sz w:val="23"/>
          <w:szCs w:val="23"/>
        </w:rPr>
        <w:t>C</w:t>
      </w:r>
      <w:r w:rsidR="00CA31C5" w:rsidRPr="00436442">
        <w:rPr>
          <w:rFonts w:ascii="Arial" w:eastAsia="Arial" w:hAnsi="Arial" w:cs="Arial"/>
          <w:sz w:val="23"/>
          <w:szCs w:val="23"/>
        </w:rPr>
        <w:t xml:space="preserve">ouncil for </w:t>
      </w:r>
      <w:r w:rsidRPr="00436442">
        <w:rPr>
          <w:rFonts w:ascii="Arial" w:eastAsia="Arial" w:hAnsi="Arial" w:cs="Arial"/>
          <w:sz w:val="23"/>
          <w:szCs w:val="23"/>
        </w:rPr>
        <w:t>S</w:t>
      </w:r>
      <w:r w:rsidR="00CA31C5" w:rsidRPr="00436442">
        <w:rPr>
          <w:rFonts w:ascii="Arial" w:eastAsia="Arial" w:hAnsi="Arial" w:cs="Arial"/>
          <w:sz w:val="23"/>
          <w:szCs w:val="23"/>
        </w:rPr>
        <w:t>cotland</w:t>
      </w:r>
      <w:r w:rsidRPr="00436442">
        <w:rPr>
          <w:rFonts w:ascii="Arial" w:eastAsia="Arial" w:hAnsi="Arial" w:cs="Arial"/>
          <w:sz w:val="23"/>
          <w:szCs w:val="23"/>
        </w:rPr>
        <w:t xml:space="preserve">.  This means that Aberdeen City Council could potentially </w:t>
      </w:r>
      <w:r w:rsidR="008F7FE7" w:rsidRPr="00436442">
        <w:rPr>
          <w:rFonts w:ascii="Arial" w:eastAsia="Arial" w:hAnsi="Arial" w:cs="Arial"/>
          <w:sz w:val="23"/>
          <w:szCs w:val="23"/>
        </w:rPr>
        <w:t>face reduced</w:t>
      </w:r>
      <w:r w:rsidRPr="00436442">
        <w:rPr>
          <w:rFonts w:ascii="Arial" w:eastAsia="Arial" w:hAnsi="Arial" w:cs="Arial"/>
          <w:sz w:val="23"/>
          <w:szCs w:val="23"/>
        </w:rPr>
        <w:t xml:space="preserve"> teacher numbers, especially around subject areas which have a higher proportion of non-UK students.  This would </w:t>
      </w:r>
      <w:r w:rsidR="000B54EF" w:rsidRPr="00436442">
        <w:rPr>
          <w:rFonts w:ascii="Arial" w:eastAsia="Arial" w:hAnsi="Arial" w:cs="Arial"/>
          <w:sz w:val="23"/>
          <w:szCs w:val="23"/>
        </w:rPr>
        <w:t xml:space="preserve">also </w:t>
      </w:r>
      <w:r w:rsidRPr="00436442">
        <w:rPr>
          <w:rFonts w:ascii="Arial" w:eastAsia="Arial" w:hAnsi="Arial" w:cs="Arial"/>
          <w:sz w:val="23"/>
          <w:szCs w:val="23"/>
        </w:rPr>
        <w:t xml:space="preserve">restrict their pipeline of future teachers.  Furthermore, work has been undertaken in partnership with the University of Aberdeen to work on incentivising people to come to Aberdeen to study to become a secondary teacher and to remain in the area and work for Aberdeen City Council afterwards as this has, historically, been an issue.  Adding further barriers to this attraction and retention </w:t>
      </w:r>
      <w:r w:rsidR="000A12D8" w:rsidRPr="00436442">
        <w:rPr>
          <w:rFonts w:ascii="Arial" w:eastAsia="Arial" w:hAnsi="Arial" w:cs="Arial"/>
          <w:sz w:val="23"/>
          <w:szCs w:val="23"/>
        </w:rPr>
        <w:t xml:space="preserve">approach </w:t>
      </w:r>
      <w:r w:rsidRPr="00436442">
        <w:rPr>
          <w:rFonts w:ascii="Arial" w:eastAsia="Arial" w:hAnsi="Arial" w:cs="Arial"/>
          <w:sz w:val="23"/>
          <w:szCs w:val="23"/>
        </w:rPr>
        <w:t xml:space="preserve">would be an issue for the Council. </w:t>
      </w:r>
    </w:p>
    <w:p w14:paraId="1FC48097" w14:textId="77777777" w:rsidR="00AE45C3" w:rsidRPr="00436442" w:rsidRDefault="00AE45C3" w:rsidP="00AE45C3">
      <w:pPr>
        <w:pStyle w:val="ListParagraph"/>
        <w:rPr>
          <w:rFonts w:ascii="Arial" w:hAnsi="Arial" w:cs="Arial"/>
          <w:sz w:val="23"/>
          <w:szCs w:val="23"/>
        </w:rPr>
      </w:pPr>
    </w:p>
    <w:p w14:paraId="21B4777E" w14:textId="21DD14F6" w:rsidR="00F56A0C" w:rsidRPr="00436442" w:rsidRDefault="005572A6" w:rsidP="00AE45C3">
      <w:pPr>
        <w:ind w:left="360"/>
        <w:rPr>
          <w:rFonts w:ascii="Arial" w:hAnsi="Arial" w:cs="Arial"/>
          <w:i/>
          <w:iCs/>
          <w:sz w:val="23"/>
          <w:szCs w:val="23"/>
        </w:rPr>
      </w:pPr>
      <w:r>
        <w:rPr>
          <w:rFonts w:ascii="Arial" w:hAnsi="Arial" w:cs="Arial"/>
          <w:i/>
          <w:iCs/>
          <w:sz w:val="23"/>
          <w:szCs w:val="23"/>
        </w:rPr>
        <w:t>Impact on o</w:t>
      </w:r>
      <w:r w:rsidR="00AE45C3" w:rsidRPr="00436442">
        <w:rPr>
          <w:rFonts w:ascii="Arial" w:hAnsi="Arial" w:cs="Arial"/>
          <w:i/>
          <w:iCs/>
          <w:sz w:val="23"/>
          <w:szCs w:val="23"/>
        </w:rPr>
        <w:t xml:space="preserve">ther </w:t>
      </w:r>
      <w:r>
        <w:rPr>
          <w:rFonts w:ascii="Arial" w:hAnsi="Arial" w:cs="Arial"/>
          <w:i/>
          <w:iCs/>
          <w:sz w:val="23"/>
          <w:szCs w:val="23"/>
        </w:rPr>
        <w:t>o</w:t>
      </w:r>
      <w:r w:rsidR="00AE45C3" w:rsidRPr="00436442">
        <w:rPr>
          <w:rFonts w:ascii="Arial" w:hAnsi="Arial" w:cs="Arial"/>
          <w:i/>
          <w:iCs/>
          <w:sz w:val="23"/>
          <w:szCs w:val="23"/>
        </w:rPr>
        <w:t>ccupations</w:t>
      </w:r>
    </w:p>
    <w:p w14:paraId="10CCBE01" w14:textId="77777777" w:rsidR="00AB500D" w:rsidRPr="00436442" w:rsidRDefault="00AB500D" w:rsidP="00AE45C3">
      <w:pPr>
        <w:ind w:left="360"/>
        <w:rPr>
          <w:rFonts w:ascii="Arial" w:hAnsi="Arial" w:cs="Arial"/>
          <w:i/>
          <w:iCs/>
          <w:sz w:val="23"/>
          <w:szCs w:val="23"/>
        </w:rPr>
      </w:pPr>
    </w:p>
    <w:p w14:paraId="4D742CB2" w14:textId="617B7BE4" w:rsidR="00AE45C3" w:rsidRPr="00436442" w:rsidRDefault="00AE45C3" w:rsidP="00AE45C3">
      <w:pPr>
        <w:pStyle w:val="ListParagraph"/>
        <w:numPr>
          <w:ilvl w:val="0"/>
          <w:numId w:val="2"/>
        </w:numPr>
        <w:rPr>
          <w:rFonts w:ascii="Arial" w:eastAsia="Times New Roman" w:hAnsi="Arial" w:cs="Arial"/>
          <w:sz w:val="23"/>
          <w:szCs w:val="23"/>
          <w:lang w:eastAsia="en-GB"/>
        </w:rPr>
      </w:pPr>
      <w:r w:rsidRPr="00436442">
        <w:rPr>
          <w:rFonts w:ascii="Arial" w:eastAsia="Times New Roman" w:hAnsi="Arial" w:cs="Arial"/>
          <w:sz w:val="23"/>
          <w:szCs w:val="23"/>
          <w:lang w:eastAsia="en-GB"/>
        </w:rPr>
        <w:t xml:space="preserve">Glasgow </w:t>
      </w:r>
      <w:r w:rsidR="000A12D8" w:rsidRPr="00436442">
        <w:rPr>
          <w:rFonts w:ascii="Arial" w:eastAsia="Times New Roman" w:hAnsi="Arial" w:cs="Arial"/>
          <w:sz w:val="23"/>
          <w:szCs w:val="23"/>
          <w:lang w:eastAsia="en-GB"/>
        </w:rPr>
        <w:t xml:space="preserve">City Council is </w:t>
      </w:r>
      <w:r w:rsidRPr="00436442">
        <w:rPr>
          <w:rFonts w:ascii="Arial" w:eastAsia="Times New Roman" w:hAnsi="Arial" w:cs="Arial"/>
          <w:sz w:val="23"/>
          <w:szCs w:val="23"/>
          <w:lang w:eastAsia="en-GB"/>
        </w:rPr>
        <w:t xml:space="preserve">aware that a significant </w:t>
      </w:r>
      <w:r w:rsidR="000A12D8" w:rsidRPr="00436442">
        <w:rPr>
          <w:rFonts w:ascii="Arial" w:eastAsia="Times New Roman" w:hAnsi="Arial" w:cs="Arial"/>
          <w:sz w:val="23"/>
          <w:szCs w:val="23"/>
          <w:lang w:eastAsia="en-GB"/>
        </w:rPr>
        <w:t>number</w:t>
      </w:r>
      <w:r w:rsidRPr="00436442">
        <w:rPr>
          <w:rFonts w:ascii="Arial" w:eastAsia="Times New Roman" w:hAnsi="Arial" w:cs="Arial"/>
          <w:sz w:val="23"/>
          <w:szCs w:val="23"/>
          <w:lang w:eastAsia="en-GB"/>
        </w:rPr>
        <w:t xml:space="preserve"> of </w:t>
      </w:r>
      <w:r w:rsidR="00CD312E" w:rsidRPr="00436442">
        <w:rPr>
          <w:rFonts w:ascii="Arial" w:eastAsia="Times New Roman" w:hAnsi="Arial" w:cs="Arial"/>
          <w:sz w:val="23"/>
          <w:szCs w:val="23"/>
          <w:lang w:eastAsia="en-GB"/>
        </w:rPr>
        <w:t>its</w:t>
      </w:r>
      <w:r w:rsidRPr="00436442">
        <w:rPr>
          <w:rFonts w:ascii="Arial" w:eastAsia="Times New Roman" w:hAnsi="Arial" w:cs="Arial"/>
          <w:sz w:val="23"/>
          <w:szCs w:val="23"/>
          <w:lang w:eastAsia="en-GB"/>
        </w:rPr>
        <w:t xml:space="preserve"> employees are EU nationals, all of whom assist to deliver the vital services </w:t>
      </w:r>
      <w:r w:rsidR="000A12D8" w:rsidRPr="00436442">
        <w:rPr>
          <w:rFonts w:ascii="Arial" w:eastAsia="Times New Roman" w:hAnsi="Arial" w:cs="Arial"/>
          <w:sz w:val="23"/>
          <w:szCs w:val="23"/>
          <w:lang w:eastAsia="en-GB"/>
        </w:rPr>
        <w:t>that the council</w:t>
      </w:r>
      <w:r w:rsidRPr="00436442">
        <w:rPr>
          <w:rFonts w:ascii="Arial" w:eastAsia="Times New Roman" w:hAnsi="Arial" w:cs="Arial"/>
          <w:sz w:val="23"/>
          <w:szCs w:val="23"/>
          <w:lang w:eastAsia="en-GB"/>
        </w:rPr>
        <w:t xml:space="preserve"> provide</w:t>
      </w:r>
      <w:r w:rsidR="000A12D8" w:rsidRPr="00436442">
        <w:rPr>
          <w:rFonts w:ascii="Arial" w:eastAsia="Times New Roman" w:hAnsi="Arial" w:cs="Arial"/>
          <w:sz w:val="23"/>
          <w:szCs w:val="23"/>
          <w:lang w:eastAsia="en-GB"/>
        </w:rPr>
        <w:t>s</w:t>
      </w:r>
      <w:r w:rsidRPr="00436442">
        <w:rPr>
          <w:rFonts w:ascii="Arial" w:eastAsia="Times New Roman" w:hAnsi="Arial" w:cs="Arial"/>
          <w:sz w:val="23"/>
          <w:szCs w:val="23"/>
          <w:lang w:eastAsia="en-GB"/>
        </w:rPr>
        <w:t xml:space="preserve"> for </w:t>
      </w:r>
      <w:r w:rsidR="000A12D8" w:rsidRPr="00436442">
        <w:rPr>
          <w:rFonts w:ascii="Arial" w:eastAsia="Times New Roman" w:hAnsi="Arial" w:cs="Arial"/>
          <w:sz w:val="23"/>
          <w:szCs w:val="23"/>
          <w:lang w:eastAsia="en-GB"/>
        </w:rPr>
        <w:t>its</w:t>
      </w:r>
      <w:r w:rsidRPr="00436442">
        <w:rPr>
          <w:rFonts w:ascii="Arial" w:eastAsia="Times New Roman" w:hAnsi="Arial" w:cs="Arial"/>
          <w:sz w:val="23"/>
          <w:szCs w:val="23"/>
          <w:lang w:eastAsia="en-GB"/>
        </w:rPr>
        <w:t xml:space="preserve"> communities and citizens.  A minimum salary threshold of £30,000 would restrict Glasgow’s ability to successfully recruit for roles such as catering and cleaning</w:t>
      </w:r>
      <w:r w:rsidR="00AB500D" w:rsidRPr="00436442">
        <w:rPr>
          <w:rFonts w:ascii="Arial" w:eastAsia="Times New Roman" w:hAnsi="Arial" w:cs="Arial"/>
          <w:sz w:val="23"/>
          <w:szCs w:val="23"/>
          <w:lang w:eastAsia="en-GB"/>
        </w:rPr>
        <w:t xml:space="preserve">, as well as child and social care. </w:t>
      </w:r>
      <w:r w:rsidR="002D4E2B" w:rsidRPr="00436442">
        <w:rPr>
          <w:rFonts w:ascii="Arial" w:eastAsia="Times New Roman" w:hAnsi="Arial" w:cs="Arial"/>
          <w:sz w:val="23"/>
          <w:szCs w:val="23"/>
          <w:lang w:eastAsia="en-GB"/>
        </w:rPr>
        <w:t xml:space="preserve"> </w:t>
      </w:r>
      <w:r w:rsidR="00646DCF" w:rsidRPr="00436442">
        <w:rPr>
          <w:rFonts w:ascii="Arial" w:eastAsia="Times New Roman" w:hAnsi="Arial" w:cs="Arial"/>
          <w:sz w:val="23"/>
          <w:szCs w:val="23"/>
          <w:lang w:eastAsia="en-GB"/>
        </w:rPr>
        <w:t xml:space="preserve">These are </w:t>
      </w:r>
      <w:r w:rsidR="00BB7BA8" w:rsidRPr="00436442">
        <w:rPr>
          <w:rFonts w:ascii="Arial" w:eastAsia="Times New Roman" w:hAnsi="Arial" w:cs="Arial"/>
          <w:sz w:val="23"/>
          <w:szCs w:val="23"/>
          <w:lang w:eastAsia="en-GB"/>
        </w:rPr>
        <w:t>role</w:t>
      </w:r>
      <w:r w:rsidRPr="00436442">
        <w:rPr>
          <w:rFonts w:ascii="Arial" w:eastAsia="Times New Roman" w:hAnsi="Arial" w:cs="Arial"/>
          <w:sz w:val="23"/>
          <w:szCs w:val="23"/>
          <w:lang w:eastAsia="en-GB"/>
        </w:rPr>
        <w:t xml:space="preserve">s which </w:t>
      </w:r>
      <w:r w:rsidR="000709AC" w:rsidRPr="00436442">
        <w:rPr>
          <w:rFonts w:ascii="Arial" w:eastAsia="Times New Roman" w:hAnsi="Arial" w:cs="Arial"/>
          <w:sz w:val="23"/>
          <w:szCs w:val="23"/>
          <w:lang w:eastAsia="en-GB"/>
        </w:rPr>
        <w:t>already face recruitment challenges</w:t>
      </w:r>
      <w:r w:rsidR="00C05DC7" w:rsidRPr="00436442">
        <w:rPr>
          <w:rFonts w:ascii="Arial" w:eastAsia="Times New Roman" w:hAnsi="Arial" w:cs="Arial"/>
          <w:sz w:val="23"/>
          <w:szCs w:val="23"/>
          <w:lang w:eastAsia="en-GB"/>
        </w:rPr>
        <w:t xml:space="preserve"> and </w:t>
      </w:r>
      <w:r w:rsidR="008F790D" w:rsidRPr="00436442">
        <w:rPr>
          <w:rFonts w:ascii="Arial" w:eastAsia="Times New Roman" w:hAnsi="Arial" w:cs="Arial"/>
          <w:sz w:val="23"/>
          <w:szCs w:val="23"/>
          <w:lang w:eastAsia="en-GB"/>
        </w:rPr>
        <w:t>these are likely to be exacerbated with</w:t>
      </w:r>
      <w:r w:rsidRPr="00436442">
        <w:rPr>
          <w:rFonts w:ascii="Arial" w:eastAsia="Times New Roman" w:hAnsi="Arial" w:cs="Arial"/>
          <w:sz w:val="23"/>
          <w:szCs w:val="23"/>
          <w:lang w:eastAsia="en-GB"/>
        </w:rPr>
        <w:t xml:space="preserve"> th</w:t>
      </w:r>
      <w:r w:rsidR="00AB500D" w:rsidRPr="00436442">
        <w:rPr>
          <w:rFonts w:ascii="Arial" w:eastAsia="Times New Roman" w:hAnsi="Arial" w:cs="Arial"/>
          <w:sz w:val="23"/>
          <w:szCs w:val="23"/>
          <w:lang w:eastAsia="en-GB"/>
        </w:rPr>
        <w:t>e proposed salary threshold requirement</w:t>
      </w:r>
      <w:r w:rsidRPr="00436442">
        <w:rPr>
          <w:rFonts w:ascii="Arial" w:eastAsia="Times New Roman" w:hAnsi="Arial" w:cs="Arial"/>
          <w:sz w:val="23"/>
          <w:szCs w:val="23"/>
          <w:lang w:eastAsia="en-GB"/>
        </w:rPr>
        <w:t xml:space="preserve"> </w:t>
      </w:r>
      <w:r w:rsidR="00AB500D" w:rsidRPr="00436442">
        <w:rPr>
          <w:rFonts w:ascii="Arial" w:eastAsia="Times New Roman" w:hAnsi="Arial" w:cs="Arial"/>
          <w:sz w:val="23"/>
          <w:szCs w:val="23"/>
          <w:lang w:eastAsia="en-GB"/>
        </w:rPr>
        <w:t>expanding to EEA nationals</w:t>
      </w:r>
      <w:r w:rsidRPr="00436442">
        <w:rPr>
          <w:rFonts w:ascii="Arial" w:eastAsia="Times New Roman" w:hAnsi="Arial" w:cs="Arial"/>
          <w:sz w:val="23"/>
          <w:szCs w:val="23"/>
          <w:lang w:eastAsia="en-GB"/>
        </w:rPr>
        <w:t>.</w:t>
      </w:r>
    </w:p>
    <w:p w14:paraId="594CB5EA" w14:textId="77777777" w:rsidR="009725F8" w:rsidRPr="00436442" w:rsidRDefault="009725F8" w:rsidP="009725F8">
      <w:pPr>
        <w:pStyle w:val="ListParagraph"/>
        <w:ind w:left="360"/>
        <w:rPr>
          <w:rFonts w:ascii="Arial" w:eastAsia="Times New Roman" w:hAnsi="Arial" w:cs="Arial"/>
          <w:sz w:val="23"/>
          <w:szCs w:val="23"/>
          <w:lang w:eastAsia="en-GB"/>
        </w:rPr>
      </w:pPr>
    </w:p>
    <w:p w14:paraId="35B18F2E" w14:textId="7523409E" w:rsidR="00F419F7" w:rsidRPr="00436442" w:rsidRDefault="002475F5" w:rsidP="00F419F7">
      <w:pPr>
        <w:pStyle w:val="ListParagraph"/>
        <w:numPr>
          <w:ilvl w:val="0"/>
          <w:numId w:val="2"/>
        </w:numPr>
        <w:rPr>
          <w:rFonts w:ascii="Arial" w:hAnsi="Arial" w:cs="Arial"/>
          <w:sz w:val="23"/>
          <w:szCs w:val="23"/>
        </w:rPr>
      </w:pPr>
      <w:r w:rsidRPr="00436442">
        <w:rPr>
          <w:rFonts w:ascii="Arial" w:hAnsi="Arial" w:cs="Arial"/>
          <w:sz w:val="23"/>
          <w:szCs w:val="23"/>
        </w:rPr>
        <w:t>East Renfrewshire</w:t>
      </w:r>
      <w:r w:rsidR="009725F8" w:rsidRPr="00436442">
        <w:rPr>
          <w:rFonts w:ascii="Arial" w:hAnsi="Arial" w:cs="Arial"/>
          <w:sz w:val="23"/>
          <w:szCs w:val="23"/>
        </w:rPr>
        <w:t xml:space="preserve"> Council </w:t>
      </w:r>
      <w:r w:rsidR="006429A4" w:rsidRPr="00436442">
        <w:rPr>
          <w:rFonts w:ascii="Arial" w:hAnsi="Arial" w:cs="Arial"/>
          <w:sz w:val="23"/>
          <w:szCs w:val="23"/>
        </w:rPr>
        <w:t xml:space="preserve">raised an issue with </w:t>
      </w:r>
      <w:r w:rsidRPr="00436442">
        <w:rPr>
          <w:rFonts w:ascii="Arial" w:eastAsia="Times New Roman" w:hAnsi="Arial" w:cs="Arial"/>
          <w:bCs/>
          <w:sz w:val="23"/>
          <w:szCs w:val="23"/>
          <w:lang w:eastAsia="en-GB"/>
        </w:rPr>
        <w:t xml:space="preserve">IT </w:t>
      </w:r>
      <w:r w:rsidR="006429A4" w:rsidRPr="00436442">
        <w:rPr>
          <w:rFonts w:ascii="Arial" w:eastAsia="Times New Roman" w:hAnsi="Arial" w:cs="Arial"/>
          <w:bCs/>
          <w:sz w:val="23"/>
          <w:szCs w:val="23"/>
          <w:lang w:eastAsia="en-GB"/>
        </w:rPr>
        <w:t>r</w:t>
      </w:r>
      <w:r w:rsidRPr="00436442">
        <w:rPr>
          <w:rFonts w:ascii="Arial" w:eastAsia="Times New Roman" w:hAnsi="Arial" w:cs="Arial"/>
          <w:bCs/>
          <w:sz w:val="23"/>
          <w:szCs w:val="23"/>
          <w:lang w:eastAsia="en-GB"/>
        </w:rPr>
        <w:t>oles</w:t>
      </w:r>
      <w:r w:rsidR="00A920FC" w:rsidRPr="00436442">
        <w:rPr>
          <w:rFonts w:ascii="Arial" w:eastAsia="Times New Roman" w:hAnsi="Arial" w:cs="Arial"/>
          <w:bCs/>
          <w:sz w:val="23"/>
          <w:szCs w:val="23"/>
          <w:lang w:eastAsia="en-GB"/>
        </w:rPr>
        <w:t xml:space="preserve">: </w:t>
      </w:r>
      <w:r w:rsidRPr="00436442">
        <w:rPr>
          <w:rFonts w:ascii="Arial" w:eastAsia="Times New Roman" w:hAnsi="Arial" w:cs="Arial"/>
          <w:sz w:val="23"/>
          <w:szCs w:val="23"/>
          <w:lang w:eastAsia="en-GB"/>
        </w:rPr>
        <w:t>many roles within IT do not meet the salary threshold</w:t>
      </w:r>
      <w:r w:rsidR="00AB500D" w:rsidRPr="00436442">
        <w:rPr>
          <w:rFonts w:ascii="Arial" w:eastAsia="Times New Roman" w:hAnsi="Arial" w:cs="Arial"/>
          <w:sz w:val="23"/>
          <w:szCs w:val="23"/>
          <w:lang w:eastAsia="en-GB"/>
        </w:rPr>
        <w:t xml:space="preserve">, and they </w:t>
      </w:r>
      <w:r w:rsidRPr="00436442">
        <w:rPr>
          <w:rFonts w:ascii="Arial" w:eastAsia="Times New Roman" w:hAnsi="Arial" w:cs="Arial"/>
          <w:sz w:val="23"/>
          <w:szCs w:val="23"/>
          <w:lang w:eastAsia="en-GB"/>
        </w:rPr>
        <w:t>have a similar issue with some admin</w:t>
      </w:r>
      <w:r w:rsidR="00A920FC" w:rsidRPr="00436442">
        <w:rPr>
          <w:rFonts w:ascii="Arial" w:eastAsia="Times New Roman" w:hAnsi="Arial" w:cs="Arial"/>
          <w:sz w:val="23"/>
          <w:szCs w:val="23"/>
          <w:lang w:eastAsia="en-GB"/>
        </w:rPr>
        <w:t>istrative</w:t>
      </w:r>
      <w:r w:rsidRPr="00436442">
        <w:rPr>
          <w:rFonts w:ascii="Arial" w:eastAsia="Times New Roman" w:hAnsi="Arial" w:cs="Arial"/>
          <w:sz w:val="23"/>
          <w:szCs w:val="23"/>
          <w:lang w:eastAsia="en-GB"/>
        </w:rPr>
        <w:t xml:space="preserve"> roles.  </w:t>
      </w:r>
      <w:r w:rsidR="00AB500D" w:rsidRPr="00436442">
        <w:rPr>
          <w:rFonts w:ascii="Arial" w:eastAsia="Times New Roman" w:hAnsi="Arial" w:cs="Arial"/>
          <w:sz w:val="23"/>
          <w:szCs w:val="23"/>
          <w:lang w:eastAsia="en-GB"/>
        </w:rPr>
        <w:t xml:space="preserve">East Renfrewshire also </w:t>
      </w:r>
      <w:r w:rsidRPr="00436442">
        <w:rPr>
          <w:rFonts w:ascii="Arial" w:eastAsia="Times New Roman" w:hAnsi="Arial" w:cs="Arial"/>
          <w:sz w:val="23"/>
          <w:szCs w:val="23"/>
          <w:lang w:eastAsia="en-GB"/>
        </w:rPr>
        <w:t>currently engage overseas workers in manual roles</w:t>
      </w:r>
      <w:r w:rsidR="00AB500D" w:rsidRPr="00436442">
        <w:rPr>
          <w:rFonts w:ascii="Arial" w:eastAsia="Times New Roman" w:hAnsi="Arial" w:cs="Arial"/>
          <w:sz w:val="23"/>
          <w:szCs w:val="23"/>
          <w:lang w:eastAsia="en-GB"/>
        </w:rPr>
        <w:t xml:space="preserve">, </w:t>
      </w:r>
      <w:r w:rsidRPr="00436442">
        <w:rPr>
          <w:rFonts w:ascii="Arial" w:eastAsia="Times New Roman" w:hAnsi="Arial" w:cs="Arial"/>
          <w:sz w:val="23"/>
          <w:szCs w:val="23"/>
          <w:lang w:eastAsia="en-GB"/>
        </w:rPr>
        <w:t>includ</w:t>
      </w:r>
      <w:r w:rsidR="00A920FC" w:rsidRPr="00436442">
        <w:rPr>
          <w:rFonts w:ascii="Arial" w:eastAsia="Times New Roman" w:hAnsi="Arial" w:cs="Arial"/>
          <w:sz w:val="23"/>
          <w:szCs w:val="23"/>
          <w:lang w:eastAsia="en-GB"/>
        </w:rPr>
        <w:t>ing</w:t>
      </w:r>
      <w:r w:rsidRPr="00436442">
        <w:rPr>
          <w:rFonts w:ascii="Arial" w:eastAsia="Times New Roman" w:hAnsi="Arial" w:cs="Arial"/>
          <w:sz w:val="23"/>
          <w:szCs w:val="23"/>
          <w:lang w:eastAsia="en-GB"/>
        </w:rPr>
        <w:t xml:space="preserve"> </w:t>
      </w:r>
      <w:r w:rsidR="00EF3E28" w:rsidRPr="00436442">
        <w:rPr>
          <w:rFonts w:ascii="Arial" w:eastAsia="Times New Roman" w:hAnsi="Arial" w:cs="Arial"/>
          <w:sz w:val="23"/>
          <w:szCs w:val="23"/>
          <w:lang w:eastAsia="en-GB"/>
        </w:rPr>
        <w:t>c</w:t>
      </w:r>
      <w:r w:rsidRPr="00436442">
        <w:rPr>
          <w:rFonts w:ascii="Arial" w:eastAsia="Times New Roman" w:hAnsi="Arial" w:cs="Arial"/>
          <w:sz w:val="23"/>
          <w:szCs w:val="23"/>
          <w:lang w:eastAsia="en-GB"/>
        </w:rPr>
        <w:t>leaners</w:t>
      </w:r>
      <w:r w:rsidR="00AB500D" w:rsidRPr="00436442">
        <w:rPr>
          <w:rFonts w:ascii="Arial" w:eastAsia="Times New Roman" w:hAnsi="Arial" w:cs="Arial"/>
          <w:sz w:val="23"/>
          <w:szCs w:val="23"/>
          <w:lang w:eastAsia="en-GB"/>
        </w:rPr>
        <w:t xml:space="preserve">, which </w:t>
      </w:r>
      <w:r w:rsidRPr="00436442">
        <w:rPr>
          <w:rFonts w:ascii="Arial" w:eastAsia="Times New Roman" w:hAnsi="Arial" w:cs="Arial"/>
          <w:sz w:val="23"/>
          <w:szCs w:val="23"/>
          <w:lang w:eastAsia="en-GB"/>
        </w:rPr>
        <w:t>will not meet the qualification or salary requirements.</w:t>
      </w:r>
    </w:p>
    <w:p w14:paraId="6472E8CE" w14:textId="77777777" w:rsidR="00F419F7" w:rsidRPr="00436442" w:rsidRDefault="00F419F7" w:rsidP="00F419F7">
      <w:pPr>
        <w:rPr>
          <w:rFonts w:ascii="Arial" w:hAnsi="Arial" w:cs="Arial"/>
          <w:sz w:val="23"/>
          <w:szCs w:val="23"/>
        </w:rPr>
      </w:pPr>
    </w:p>
    <w:p w14:paraId="78E19D2C" w14:textId="61319E13" w:rsidR="00AC6BDA" w:rsidRPr="00436442" w:rsidRDefault="00F126E9" w:rsidP="00AC6BDA">
      <w:pPr>
        <w:pStyle w:val="ListParagraph"/>
        <w:numPr>
          <w:ilvl w:val="0"/>
          <w:numId w:val="2"/>
        </w:numPr>
        <w:rPr>
          <w:rFonts w:ascii="Arial" w:eastAsia="Times New Roman" w:hAnsi="Arial" w:cs="Arial"/>
          <w:sz w:val="23"/>
          <w:szCs w:val="23"/>
          <w:lang w:eastAsia="en-GB"/>
        </w:rPr>
      </w:pPr>
      <w:r w:rsidRPr="00436442">
        <w:rPr>
          <w:rFonts w:ascii="Arial" w:eastAsia="Times New Roman" w:hAnsi="Arial" w:cs="Arial"/>
          <w:sz w:val="23"/>
          <w:szCs w:val="23"/>
          <w:lang w:eastAsia="en-GB"/>
        </w:rPr>
        <w:t>South Lanarkshire</w:t>
      </w:r>
      <w:r w:rsidR="00F419F7" w:rsidRPr="00436442">
        <w:rPr>
          <w:rFonts w:ascii="Arial" w:eastAsia="Times New Roman" w:hAnsi="Arial" w:cs="Arial"/>
          <w:sz w:val="23"/>
          <w:szCs w:val="23"/>
          <w:lang w:eastAsia="en-GB"/>
        </w:rPr>
        <w:t xml:space="preserve"> Council</w:t>
      </w:r>
      <w:r w:rsidRPr="00436442">
        <w:rPr>
          <w:rFonts w:ascii="Arial" w:eastAsia="Times New Roman" w:hAnsi="Arial" w:cs="Arial"/>
          <w:sz w:val="23"/>
          <w:szCs w:val="23"/>
          <w:lang w:eastAsia="en-GB"/>
        </w:rPr>
        <w:t xml:space="preserve"> </w:t>
      </w:r>
      <w:r w:rsidR="00D915AE" w:rsidRPr="00436442">
        <w:rPr>
          <w:rFonts w:ascii="Arial" w:eastAsia="Times New Roman" w:hAnsi="Arial" w:cs="Arial"/>
          <w:sz w:val="23"/>
          <w:szCs w:val="23"/>
          <w:lang w:eastAsia="en-GB"/>
        </w:rPr>
        <w:t>highlighted</w:t>
      </w:r>
      <w:r w:rsidR="00A522A3" w:rsidRPr="00436442">
        <w:rPr>
          <w:rFonts w:ascii="Arial" w:eastAsia="Times New Roman" w:hAnsi="Arial" w:cs="Arial"/>
          <w:sz w:val="23"/>
          <w:szCs w:val="23"/>
          <w:lang w:eastAsia="en-GB"/>
        </w:rPr>
        <w:t xml:space="preserve"> </w:t>
      </w:r>
      <w:r w:rsidRPr="00436442">
        <w:rPr>
          <w:rFonts w:ascii="Arial" w:eastAsia="Times New Roman" w:hAnsi="Arial" w:cs="Arial"/>
          <w:sz w:val="23"/>
          <w:szCs w:val="23"/>
          <w:lang w:eastAsia="en-GB"/>
        </w:rPr>
        <w:t xml:space="preserve">lower/mid graded posts </w:t>
      </w:r>
      <w:r w:rsidR="00961728" w:rsidRPr="00436442">
        <w:rPr>
          <w:rFonts w:ascii="Arial" w:eastAsia="Times New Roman" w:hAnsi="Arial" w:cs="Arial"/>
          <w:sz w:val="23"/>
          <w:szCs w:val="23"/>
          <w:lang w:eastAsia="en-GB"/>
        </w:rPr>
        <w:t xml:space="preserve">which </w:t>
      </w:r>
      <w:r w:rsidRPr="00436442">
        <w:rPr>
          <w:rFonts w:ascii="Arial" w:eastAsia="Times New Roman" w:hAnsi="Arial" w:cs="Arial"/>
          <w:sz w:val="23"/>
          <w:szCs w:val="23"/>
          <w:lang w:eastAsia="en-GB"/>
        </w:rPr>
        <w:t>may remain unfilled if</w:t>
      </w:r>
      <w:r w:rsidR="00961728" w:rsidRPr="00436442">
        <w:rPr>
          <w:rFonts w:ascii="Arial" w:eastAsia="Times New Roman" w:hAnsi="Arial" w:cs="Arial"/>
          <w:sz w:val="23"/>
          <w:szCs w:val="23"/>
          <w:lang w:eastAsia="en-GB"/>
        </w:rPr>
        <w:t xml:space="preserve"> the salary threshold is implemented.  These include</w:t>
      </w:r>
      <w:r w:rsidR="00A522A3" w:rsidRPr="00436442">
        <w:rPr>
          <w:rFonts w:ascii="Arial" w:eastAsia="Times New Roman" w:hAnsi="Arial" w:cs="Arial"/>
          <w:sz w:val="23"/>
          <w:szCs w:val="23"/>
          <w:lang w:eastAsia="en-GB"/>
        </w:rPr>
        <w:t xml:space="preserve"> </w:t>
      </w:r>
      <w:r w:rsidRPr="00436442">
        <w:rPr>
          <w:rFonts w:ascii="Arial" w:eastAsia="Times New Roman" w:hAnsi="Arial" w:cs="Arial"/>
          <w:sz w:val="23"/>
          <w:szCs w:val="23"/>
          <w:lang w:eastAsia="en-GB"/>
        </w:rPr>
        <w:t>Probationer Teachers, Cleaning and Catering posts, School Support Assistants and Health and Social Care posts.</w:t>
      </w:r>
    </w:p>
    <w:p w14:paraId="478A3883" w14:textId="77777777" w:rsidR="00AC6BDA" w:rsidRPr="00436442" w:rsidRDefault="00AC6BDA" w:rsidP="00AC6BDA">
      <w:pPr>
        <w:rPr>
          <w:rFonts w:ascii="Arial" w:eastAsia="Times New Roman" w:hAnsi="Arial" w:cs="Arial"/>
          <w:sz w:val="23"/>
          <w:szCs w:val="23"/>
          <w:lang w:eastAsia="en-GB"/>
        </w:rPr>
      </w:pPr>
    </w:p>
    <w:p w14:paraId="0A2E7DF8" w14:textId="77777777" w:rsidR="0088695E" w:rsidRDefault="00D51656" w:rsidP="0088695E">
      <w:pPr>
        <w:pStyle w:val="ListParagraph"/>
        <w:numPr>
          <w:ilvl w:val="0"/>
          <w:numId w:val="2"/>
        </w:numPr>
        <w:rPr>
          <w:rFonts w:ascii="Arial" w:eastAsia="Times New Roman" w:hAnsi="Arial" w:cs="Arial"/>
          <w:sz w:val="23"/>
          <w:szCs w:val="23"/>
          <w:lang w:eastAsia="en-GB"/>
        </w:rPr>
      </w:pPr>
      <w:r w:rsidRPr="00436442">
        <w:rPr>
          <w:rFonts w:ascii="Arial" w:hAnsi="Arial" w:cs="Arial"/>
          <w:sz w:val="23"/>
          <w:szCs w:val="23"/>
        </w:rPr>
        <w:t xml:space="preserve">Angus and </w:t>
      </w:r>
      <w:r w:rsidR="00D9064C" w:rsidRPr="00436442">
        <w:rPr>
          <w:rFonts w:ascii="Arial" w:hAnsi="Arial" w:cs="Arial"/>
          <w:sz w:val="23"/>
          <w:szCs w:val="23"/>
        </w:rPr>
        <w:t>Dumfries and Galloway</w:t>
      </w:r>
      <w:r w:rsidR="00657AEC" w:rsidRPr="00436442">
        <w:rPr>
          <w:rFonts w:ascii="Arial" w:hAnsi="Arial" w:cs="Arial"/>
          <w:sz w:val="23"/>
          <w:szCs w:val="23"/>
        </w:rPr>
        <w:t>,</w:t>
      </w:r>
      <w:r w:rsidR="00D9064C" w:rsidRPr="00436442">
        <w:rPr>
          <w:rFonts w:ascii="Arial" w:hAnsi="Arial" w:cs="Arial"/>
          <w:sz w:val="23"/>
          <w:szCs w:val="23"/>
        </w:rPr>
        <w:t xml:space="preserve"> </w:t>
      </w:r>
      <w:r w:rsidRPr="00436442">
        <w:rPr>
          <w:rFonts w:ascii="Arial" w:hAnsi="Arial" w:cs="Arial"/>
          <w:sz w:val="23"/>
          <w:szCs w:val="23"/>
        </w:rPr>
        <w:t>as</w:t>
      </w:r>
      <w:r w:rsidR="00D9064C" w:rsidRPr="00436442">
        <w:rPr>
          <w:rFonts w:ascii="Arial" w:hAnsi="Arial" w:cs="Arial"/>
          <w:sz w:val="23"/>
          <w:szCs w:val="23"/>
        </w:rPr>
        <w:t xml:space="preserve"> rural </w:t>
      </w:r>
      <w:r w:rsidR="00657AEC" w:rsidRPr="00436442">
        <w:rPr>
          <w:rFonts w:ascii="Arial" w:hAnsi="Arial" w:cs="Arial"/>
          <w:sz w:val="23"/>
          <w:szCs w:val="23"/>
        </w:rPr>
        <w:t>council areas,</w:t>
      </w:r>
      <w:r w:rsidR="00D9064C" w:rsidRPr="00436442">
        <w:rPr>
          <w:rFonts w:ascii="Arial" w:hAnsi="Arial" w:cs="Arial"/>
          <w:sz w:val="23"/>
          <w:szCs w:val="23"/>
        </w:rPr>
        <w:t xml:space="preserve"> </w:t>
      </w:r>
      <w:r w:rsidRPr="00436442">
        <w:rPr>
          <w:rFonts w:ascii="Arial" w:hAnsi="Arial" w:cs="Arial"/>
          <w:sz w:val="23"/>
          <w:szCs w:val="23"/>
        </w:rPr>
        <w:t xml:space="preserve">rely on </w:t>
      </w:r>
      <w:r w:rsidR="00D9064C" w:rsidRPr="00436442">
        <w:rPr>
          <w:rFonts w:ascii="Arial" w:hAnsi="Arial" w:cs="Arial"/>
          <w:sz w:val="23"/>
          <w:szCs w:val="23"/>
        </w:rPr>
        <w:t>agricultural workers, many of whom are EU Nationals, and employed below the current salary threshold.</w:t>
      </w:r>
    </w:p>
    <w:p w14:paraId="34A3417A" w14:textId="77777777" w:rsidR="0088695E" w:rsidRPr="0088695E" w:rsidRDefault="0088695E" w:rsidP="0088695E">
      <w:pPr>
        <w:pStyle w:val="ListParagraph"/>
        <w:rPr>
          <w:rFonts w:ascii="Arial" w:eastAsia="Times New Roman" w:hAnsi="Arial" w:cs="Arial"/>
          <w:sz w:val="23"/>
          <w:szCs w:val="23"/>
          <w:lang w:eastAsia="en-GB"/>
        </w:rPr>
      </w:pPr>
    </w:p>
    <w:p w14:paraId="056070DF" w14:textId="77777777" w:rsidR="001A74E0" w:rsidRPr="001A74E0" w:rsidRDefault="009E6FE4" w:rsidP="0088695E">
      <w:pPr>
        <w:pStyle w:val="ListParagraph"/>
        <w:numPr>
          <w:ilvl w:val="0"/>
          <w:numId w:val="2"/>
        </w:numPr>
        <w:rPr>
          <w:rFonts w:ascii="Arial" w:eastAsia="Times New Roman" w:hAnsi="Arial" w:cs="Arial"/>
          <w:sz w:val="23"/>
          <w:szCs w:val="23"/>
          <w:lang w:eastAsia="en-GB"/>
        </w:rPr>
      </w:pPr>
      <w:r w:rsidRPr="0088695E">
        <w:rPr>
          <w:rFonts w:ascii="Arial" w:eastAsia="Times New Roman" w:hAnsi="Arial" w:cs="Arial"/>
          <w:sz w:val="23"/>
          <w:szCs w:val="23"/>
          <w:lang w:eastAsia="en-GB"/>
        </w:rPr>
        <w:t xml:space="preserve">The Outer Hebrides envisage that </w:t>
      </w:r>
      <w:r w:rsidRPr="0088695E">
        <w:rPr>
          <w:rFonts w:ascii="Arial" w:hAnsi="Arial" w:cs="Arial"/>
          <w:bCs/>
          <w:sz w:val="23"/>
          <w:szCs w:val="23"/>
        </w:rPr>
        <w:t>the long-term impact of the cessation of economic EU migration to the</w:t>
      </w:r>
      <w:r w:rsidR="005F16C3" w:rsidRPr="0088695E">
        <w:rPr>
          <w:rFonts w:ascii="Arial" w:hAnsi="Arial" w:cs="Arial"/>
          <w:bCs/>
          <w:sz w:val="23"/>
          <w:szCs w:val="23"/>
        </w:rPr>
        <w:t xml:space="preserve">ir islands </w:t>
      </w:r>
      <w:r w:rsidRPr="0088695E">
        <w:rPr>
          <w:rFonts w:ascii="Arial" w:hAnsi="Arial" w:cs="Arial"/>
          <w:bCs/>
          <w:sz w:val="23"/>
          <w:szCs w:val="23"/>
        </w:rPr>
        <w:t xml:space="preserve">is bound to have some impact on the fishing, shellfish, </w:t>
      </w:r>
      <w:r w:rsidRPr="0088695E">
        <w:rPr>
          <w:rFonts w:ascii="Arial" w:hAnsi="Arial" w:cs="Arial"/>
          <w:bCs/>
          <w:sz w:val="23"/>
          <w:szCs w:val="23"/>
        </w:rPr>
        <w:lastRenderedPageBreak/>
        <w:t xml:space="preserve">retail, construction, tourism and healthcare/social care sectors (for example, many of NHS Western Isles Consultants are EEA nationals). </w:t>
      </w:r>
      <w:r w:rsidR="0088695E" w:rsidRPr="0088695E">
        <w:rPr>
          <w:rFonts w:ascii="Arial" w:hAnsi="Arial" w:cs="Arial"/>
          <w:bCs/>
          <w:sz w:val="23"/>
          <w:szCs w:val="23"/>
        </w:rPr>
        <w:t xml:space="preserve"> </w:t>
      </w:r>
    </w:p>
    <w:p w14:paraId="5FD6CFAF" w14:textId="77777777" w:rsidR="001A74E0" w:rsidRPr="001A74E0" w:rsidRDefault="001A74E0" w:rsidP="001A74E0">
      <w:pPr>
        <w:pStyle w:val="ListParagraph"/>
        <w:rPr>
          <w:rFonts w:ascii="Arial" w:hAnsi="Arial" w:cs="Arial"/>
          <w:bCs/>
          <w:sz w:val="23"/>
          <w:szCs w:val="23"/>
        </w:rPr>
      </w:pPr>
    </w:p>
    <w:p w14:paraId="2DED32D0" w14:textId="59E9BAC1" w:rsidR="00890F22" w:rsidRPr="00F216AE" w:rsidRDefault="0088695E" w:rsidP="005108E6">
      <w:pPr>
        <w:pStyle w:val="ListParagraph"/>
        <w:numPr>
          <w:ilvl w:val="0"/>
          <w:numId w:val="2"/>
        </w:numPr>
        <w:rPr>
          <w:rFonts w:ascii="Arial" w:eastAsia="Times New Roman" w:hAnsi="Arial" w:cs="Arial"/>
          <w:sz w:val="23"/>
          <w:szCs w:val="23"/>
          <w:lang w:eastAsia="en-GB"/>
        </w:rPr>
      </w:pPr>
      <w:r w:rsidRPr="00F216AE">
        <w:rPr>
          <w:rFonts w:ascii="Arial" w:hAnsi="Arial" w:cs="Arial"/>
          <w:bCs/>
          <w:sz w:val="23"/>
          <w:szCs w:val="23"/>
        </w:rPr>
        <w:t>Suffice to say that remote and rural communities in Scotland depend on workers from the EU in a range of sectors with tourism providing more than 200,000 jobs in total, 21,000 of which are held by non-UK EU nationals.  Around 8,000 people in Scotland employed in the food and drink sector, particularly fish and meat processing, are non-UK EU nationals.  There are also up to 15,000 non-UK EU seasonal migrant workers in Scotland in soft fruit and vegetable sectors, and 3% of health and social care workers in Scotland are non-UK EU nationals</w:t>
      </w:r>
      <w:r w:rsidR="00F216AE">
        <w:rPr>
          <w:rFonts w:ascii="Arial" w:hAnsi="Arial" w:cs="Arial"/>
          <w:bCs/>
          <w:sz w:val="23"/>
          <w:szCs w:val="23"/>
        </w:rPr>
        <w:t>.</w:t>
      </w:r>
      <w:r w:rsidR="00F216AE">
        <w:rPr>
          <w:rStyle w:val="FootnoteReference"/>
          <w:rFonts w:ascii="Arial" w:hAnsi="Arial" w:cs="Arial"/>
          <w:bCs/>
          <w:sz w:val="23"/>
          <w:szCs w:val="23"/>
        </w:rPr>
        <w:footnoteReference w:id="5"/>
      </w:r>
    </w:p>
    <w:p w14:paraId="42B79ABC" w14:textId="77777777" w:rsidR="00F216AE" w:rsidRPr="00F216AE" w:rsidRDefault="00F216AE" w:rsidP="00F216AE">
      <w:pPr>
        <w:rPr>
          <w:rFonts w:ascii="Arial" w:eastAsia="Times New Roman" w:hAnsi="Arial" w:cs="Arial"/>
          <w:sz w:val="23"/>
          <w:szCs w:val="23"/>
          <w:lang w:eastAsia="en-GB"/>
        </w:rPr>
      </w:pPr>
    </w:p>
    <w:p w14:paraId="15EEBD6E" w14:textId="47A2B062" w:rsidR="0093357D" w:rsidRPr="00436442" w:rsidRDefault="0093357D" w:rsidP="00890F22">
      <w:pPr>
        <w:pStyle w:val="ListParagraph"/>
        <w:numPr>
          <w:ilvl w:val="0"/>
          <w:numId w:val="2"/>
        </w:numPr>
        <w:rPr>
          <w:rFonts w:ascii="Arial" w:eastAsia="Times New Roman" w:hAnsi="Arial" w:cs="Arial"/>
          <w:sz w:val="23"/>
          <w:szCs w:val="23"/>
          <w:lang w:eastAsia="en-GB"/>
        </w:rPr>
      </w:pPr>
      <w:r w:rsidRPr="00436442">
        <w:rPr>
          <w:rFonts w:ascii="Arial" w:hAnsi="Arial" w:cs="Arial"/>
          <w:sz w:val="23"/>
          <w:szCs w:val="23"/>
        </w:rPr>
        <w:t xml:space="preserve">Aberdeen City </w:t>
      </w:r>
      <w:r w:rsidR="00890F22" w:rsidRPr="00436442">
        <w:rPr>
          <w:rFonts w:ascii="Arial" w:hAnsi="Arial" w:cs="Arial"/>
          <w:sz w:val="23"/>
          <w:szCs w:val="23"/>
        </w:rPr>
        <w:t xml:space="preserve">Council </w:t>
      </w:r>
      <w:r w:rsidRPr="00436442">
        <w:rPr>
          <w:rFonts w:ascii="Arial" w:hAnsi="Arial" w:cs="Arial"/>
          <w:sz w:val="23"/>
          <w:szCs w:val="23"/>
        </w:rPr>
        <w:t>suggest</w:t>
      </w:r>
      <w:r w:rsidR="00C96AFA" w:rsidRPr="00436442">
        <w:rPr>
          <w:rFonts w:ascii="Arial" w:hAnsi="Arial" w:cs="Arial"/>
          <w:sz w:val="23"/>
          <w:szCs w:val="23"/>
        </w:rPr>
        <w:t>ed</w:t>
      </w:r>
      <w:r w:rsidRPr="00436442">
        <w:rPr>
          <w:rFonts w:ascii="Arial" w:hAnsi="Arial" w:cs="Arial"/>
          <w:sz w:val="23"/>
          <w:szCs w:val="23"/>
        </w:rPr>
        <w:t xml:space="preserve"> that</w:t>
      </w:r>
      <w:r w:rsidR="00C96AFA" w:rsidRPr="00436442">
        <w:rPr>
          <w:rFonts w:ascii="Arial" w:hAnsi="Arial" w:cs="Arial"/>
          <w:sz w:val="23"/>
          <w:szCs w:val="23"/>
        </w:rPr>
        <w:t>,</w:t>
      </w:r>
      <w:r w:rsidRPr="00436442">
        <w:rPr>
          <w:rFonts w:ascii="Arial" w:eastAsia="Arial" w:hAnsi="Arial" w:cs="Arial"/>
          <w:sz w:val="23"/>
          <w:szCs w:val="23"/>
        </w:rPr>
        <w:t xml:space="preserve"> in future, they may need to explore sponsoring employees in other areas, particularly in areas of demand or growth.  This could include a need to sponsor EEA nationals.  There could be roles in the organisation which will require sponsorship which do not meet the £30,000 salary threshold.  This could include lower-paid roles which they struggle to recruit to internally, particularly roles in trades, waste, roads, care, facilities and early years.</w:t>
      </w:r>
    </w:p>
    <w:p w14:paraId="47556AC1" w14:textId="77777777" w:rsidR="00AB700F" w:rsidRPr="00436442" w:rsidRDefault="00AB700F" w:rsidP="00AB700F">
      <w:pPr>
        <w:rPr>
          <w:rFonts w:ascii="Arial" w:eastAsia="Times New Roman" w:hAnsi="Arial" w:cs="Arial"/>
          <w:sz w:val="23"/>
          <w:szCs w:val="23"/>
          <w:lang w:eastAsia="en-GB"/>
        </w:rPr>
      </w:pPr>
    </w:p>
    <w:p w14:paraId="6B12FA1B" w14:textId="573B31EF" w:rsidR="00F839ED" w:rsidRPr="00436442" w:rsidRDefault="00F839ED" w:rsidP="00F839ED">
      <w:pPr>
        <w:ind w:left="360"/>
        <w:rPr>
          <w:rFonts w:ascii="Arial" w:hAnsi="Arial" w:cs="Arial"/>
          <w:i/>
          <w:iCs/>
          <w:sz w:val="23"/>
          <w:szCs w:val="23"/>
        </w:rPr>
      </w:pPr>
      <w:r w:rsidRPr="00436442">
        <w:rPr>
          <w:rFonts w:ascii="Arial" w:hAnsi="Arial" w:cs="Arial"/>
          <w:i/>
          <w:iCs/>
          <w:sz w:val="23"/>
          <w:szCs w:val="23"/>
        </w:rPr>
        <w:t>Regional wage variations</w:t>
      </w:r>
    </w:p>
    <w:p w14:paraId="005334F4" w14:textId="303F463B" w:rsidR="00AE001D" w:rsidRPr="00436442" w:rsidRDefault="00EF3E28" w:rsidP="00AE001D">
      <w:pPr>
        <w:pStyle w:val="ListParagraph"/>
        <w:numPr>
          <w:ilvl w:val="0"/>
          <w:numId w:val="2"/>
        </w:numPr>
        <w:spacing w:before="100" w:beforeAutospacing="1" w:after="100" w:afterAutospacing="1"/>
        <w:rPr>
          <w:rFonts w:ascii="Arial" w:eastAsia="Times New Roman" w:hAnsi="Arial" w:cs="Arial"/>
          <w:sz w:val="23"/>
          <w:szCs w:val="23"/>
          <w:lang w:eastAsia="en-GB"/>
        </w:rPr>
      </w:pPr>
      <w:r w:rsidRPr="00436442">
        <w:rPr>
          <w:rFonts w:ascii="Arial" w:hAnsi="Arial" w:cs="Arial"/>
          <w:sz w:val="23"/>
          <w:szCs w:val="23"/>
        </w:rPr>
        <w:t xml:space="preserve">Our member councils have also emphasised regional variation in salaries and </w:t>
      </w:r>
      <w:r w:rsidR="00D15F8A" w:rsidRPr="00436442">
        <w:rPr>
          <w:rFonts w:ascii="Arial" w:hAnsi="Arial" w:cs="Arial"/>
          <w:sz w:val="23"/>
          <w:szCs w:val="23"/>
        </w:rPr>
        <w:t>have raised concerns</w:t>
      </w:r>
      <w:r w:rsidRPr="00436442">
        <w:rPr>
          <w:rFonts w:ascii="Arial" w:hAnsi="Arial" w:cs="Arial"/>
          <w:sz w:val="23"/>
          <w:szCs w:val="23"/>
        </w:rPr>
        <w:t xml:space="preserve"> that a salary threshold would impact regions different</w:t>
      </w:r>
      <w:r w:rsidR="00B978B3" w:rsidRPr="00436442">
        <w:rPr>
          <w:rFonts w:ascii="Arial" w:hAnsi="Arial" w:cs="Arial"/>
          <w:sz w:val="23"/>
          <w:szCs w:val="23"/>
        </w:rPr>
        <w:t>ially</w:t>
      </w:r>
      <w:r w:rsidRPr="00436442">
        <w:rPr>
          <w:rFonts w:ascii="Arial" w:hAnsi="Arial" w:cs="Arial"/>
          <w:sz w:val="23"/>
          <w:szCs w:val="23"/>
        </w:rPr>
        <w:t xml:space="preserve">.  </w:t>
      </w:r>
      <w:r w:rsidR="00F839ED" w:rsidRPr="00436442">
        <w:rPr>
          <w:rFonts w:ascii="Arial" w:eastAsia="Times New Roman" w:hAnsi="Arial" w:cs="Arial"/>
          <w:sz w:val="23"/>
          <w:szCs w:val="23"/>
          <w:lang w:eastAsia="en-GB"/>
        </w:rPr>
        <w:t>Wage levels across the UK are not uniform; even for the same role there is a variation.  Areas which have low</w:t>
      </w:r>
      <w:r w:rsidR="006F4DDD" w:rsidRPr="00436442">
        <w:rPr>
          <w:rFonts w:ascii="Arial" w:eastAsia="Times New Roman" w:hAnsi="Arial" w:cs="Arial"/>
          <w:sz w:val="23"/>
          <w:szCs w:val="23"/>
          <w:lang w:eastAsia="en-GB"/>
        </w:rPr>
        <w:t>er</w:t>
      </w:r>
      <w:r w:rsidR="00F839ED" w:rsidRPr="00436442">
        <w:rPr>
          <w:rFonts w:ascii="Arial" w:eastAsia="Times New Roman" w:hAnsi="Arial" w:cs="Arial"/>
          <w:sz w:val="23"/>
          <w:szCs w:val="23"/>
          <w:lang w:eastAsia="en-GB"/>
        </w:rPr>
        <w:t xml:space="preserve"> wage levels will </w:t>
      </w:r>
      <w:r w:rsidR="00561898" w:rsidRPr="00436442">
        <w:rPr>
          <w:rFonts w:ascii="Arial" w:eastAsia="Times New Roman" w:hAnsi="Arial" w:cs="Arial"/>
          <w:sz w:val="23"/>
          <w:szCs w:val="23"/>
          <w:lang w:eastAsia="en-GB"/>
        </w:rPr>
        <w:t xml:space="preserve">therefore </w:t>
      </w:r>
      <w:r w:rsidR="00F839ED" w:rsidRPr="00436442">
        <w:rPr>
          <w:rFonts w:ascii="Arial" w:eastAsia="Times New Roman" w:hAnsi="Arial" w:cs="Arial"/>
          <w:sz w:val="23"/>
          <w:szCs w:val="23"/>
          <w:lang w:eastAsia="en-GB"/>
        </w:rPr>
        <w:t>be disadvantaged even with a job</w:t>
      </w:r>
      <w:r w:rsidR="006F4DDD" w:rsidRPr="00436442">
        <w:rPr>
          <w:rFonts w:ascii="Arial" w:eastAsia="Times New Roman" w:hAnsi="Arial" w:cs="Arial"/>
          <w:sz w:val="23"/>
          <w:szCs w:val="23"/>
          <w:lang w:eastAsia="en-GB"/>
        </w:rPr>
        <w:t>-</w:t>
      </w:r>
      <w:r w:rsidR="00F839ED" w:rsidRPr="00436442">
        <w:rPr>
          <w:rFonts w:ascii="Arial" w:eastAsia="Times New Roman" w:hAnsi="Arial" w:cs="Arial"/>
          <w:sz w:val="23"/>
          <w:szCs w:val="23"/>
          <w:lang w:eastAsia="en-GB"/>
        </w:rPr>
        <w:t xml:space="preserve">specific salary threshold.  The result of this </w:t>
      </w:r>
      <w:r w:rsidR="00AE001D" w:rsidRPr="00436442">
        <w:rPr>
          <w:rFonts w:ascii="Arial" w:eastAsia="Times New Roman" w:hAnsi="Arial" w:cs="Arial"/>
          <w:sz w:val="23"/>
          <w:szCs w:val="23"/>
          <w:lang w:eastAsia="en-GB"/>
        </w:rPr>
        <w:t>c</w:t>
      </w:r>
      <w:r w:rsidR="00F839ED" w:rsidRPr="00436442">
        <w:rPr>
          <w:rFonts w:ascii="Arial" w:eastAsia="Times New Roman" w:hAnsi="Arial" w:cs="Arial"/>
          <w:sz w:val="23"/>
          <w:szCs w:val="23"/>
          <w:lang w:eastAsia="en-GB"/>
        </w:rPr>
        <w:t>ould be that there will be a concentration of migrants in areas of higher salaries, where there is already likely to be competition for these roles.  In rural areas in particular, there is a shallow pool of talent, and a need to attract labour, and salary thresholds will not address this.</w:t>
      </w:r>
    </w:p>
    <w:p w14:paraId="340B5126" w14:textId="77777777" w:rsidR="00AE001D" w:rsidRPr="00436442" w:rsidRDefault="00AE001D" w:rsidP="005B5B90">
      <w:pPr>
        <w:pStyle w:val="ListParagraph"/>
        <w:ind w:left="357"/>
        <w:rPr>
          <w:rFonts w:ascii="Arial" w:eastAsia="Times New Roman" w:hAnsi="Arial" w:cs="Arial"/>
          <w:sz w:val="23"/>
          <w:szCs w:val="23"/>
          <w:lang w:eastAsia="en-GB"/>
        </w:rPr>
      </w:pPr>
    </w:p>
    <w:p w14:paraId="4128ABFA" w14:textId="58FF4AD5" w:rsidR="008A36F6" w:rsidRPr="00436442" w:rsidRDefault="00583106" w:rsidP="005B5B90">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A</w:t>
      </w:r>
      <w:r w:rsidR="008A36F6" w:rsidRPr="00436442">
        <w:rPr>
          <w:rFonts w:ascii="Arial" w:hAnsi="Arial" w:cs="Arial"/>
          <w:sz w:val="23"/>
          <w:szCs w:val="23"/>
        </w:rPr>
        <w:t xml:space="preserve">verage salaries in Highland are around 3% below the Scottish </w:t>
      </w:r>
      <w:r w:rsidR="00EF3E28" w:rsidRPr="00436442">
        <w:rPr>
          <w:rFonts w:ascii="Arial" w:hAnsi="Arial" w:cs="Arial"/>
          <w:sz w:val="23"/>
          <w:szCs w:val="23"/>
        </w:rPr>
        <w:t>a</w:t>
      </w:r>
      <w:r w:rsidR="008A36F6" w:rsidRPr="00436442">
        <w:rPr>
          <w:rFonts w:ascii="Arial" w:hAnsi="Arial" w:cs="Arial"/>
          <w:sz w:val="23"/>
          <w:szCs w:val="23"/>
        </w:rPr>
        <w:t xml:space="preserve">verage which in turn lags behind areas such as London, the South East and East of England. </w:t>
      </w:r>
      <w:r w:rsidR="0000006C" w:rsidRPr="00436442">
        <w:rPr>
          <w:rFonts w:ascii="Arial" w:hAnsi="Arial" w:cs="Arial"/>
          <w:sz w:val="23"/>
          <w:szCs w:val="23"/>
        </w:rPr>
        <w:t xml:space="preserve"> </w:t>
      </w:r>
      <w:r w:rsidR="008A36F6" w:rsidRPr="00436442">
        <w:rPr>
          <w:rFonts w:ascii="Arial" w:hAnsi="Arial" w:cs="Arial"/>
          <w:sz w:val="23"/>
          <w:szCs w:val="23"/>
        </w:rPr>
        <w:t>On average</w:t>
      </w:r>
      <w:r w:rsidR="0000006C" w:rsidRPr="00436442">
        <w:rPr>
          <w:rFonts w:ascii="Arial" w:hAnsi="Arial" w:cs="Arial"/>
          <w:sz w:val="23"/>
          <w:szCs w:val="23"/>
        </w:rPr>
        <w:t>,</w:t>
      </w:r>
      <w:r w:rsidR="008A36F6" w:rsidRPr="00436442">
        <w:rPr>
          <w:rFonts w:ascii="Arial" w:hAnsi="Arial" w:cs="Arial"/>
          <w:sz w:val="23"/>
          <w:szCs w:val="23"/>
        </w:rPr>
        <w:t xml:space="preserve"> a worker in Highland will earn only 81% of what a London worker earns or 88% of th</w:t>
      </w:r>
      <w:r w:rsidR="009E6D08" w:rsidRPr="00436442">
        <w:rPr>
          <w:rFonts w:ascii="Arial" w:hAnsi="Arial" w:cs="Arial"/>
          <w:sz w:val="23"/>
          <w:szCs w:val="23"/>
        </w:rPr>
        <w:t>e salary</w:t>
      </w:r>
      <w:r w:rsidR="008A36F6" w:rsidRPr="00436442">
        <w:rPr>
          <w:rFonts w:ascii="Arial" w:hAnsi="Arial" w:cs="Arial"/>
          <w:sz w:val="23"/>
          <w:szCs w:val="23"/>
        </w:rPr>
        <w:t xml:space="preserve"> earned by a worker in the South East. </w:t>
      </w:r>
      <w:r w:rsidR="009E6D08" w:rsidRPr="00436442">
        <w:rPr>
          <w:rFonts w:ascii="Arial" w:hAnsi="Arial" w:cs="Arial"/>
          <w:sz w:val="23"/>
          <w:szCs w:val="23"/>
        </w:rPr>
        <w:t xml:space="preserve"> </w:t>
      </w:r>
      <w:r w:rsidR="008A36F6" w:rsidRPr="00436442">
        <w:rPr>
          <w:rFonts w:ascii="Arial" w:hAnsi="Arial" w:cs="Arial"/>
          <w:sz w:val="23"/>
          <w:szCs w:val="23"/>
        </w:rPr>
        <w:t>While this differential will have a limited impact in some instances</w:t>
      </w:r>
      <w:r w:rsidR="009E6D08" w:rsidRPr="00436442">
        <w:rPr>
          <w:rFonts w:ascii="Arial" w:hAnsi="Arial" w:cs="Arial"/>
          <w:sz w:val="23"/>
          <w:szCs w:val="23"/>
        </w:rPr>
        <w:t>,</w:t>
      </w:r>
      <w:r w:rsidR="008A36F6" w:rsidRPr="00436442">
        <w:rPr>
          <w:rFonts w:ascii="Arial" w:hAnsi="Arial" w:cs="Arial"/>
          <w:sz w:val="23"/>
          <w:szCs w:val="23"/>
        </w:rPr>
        <w:t xml:space="preserve"> there are also times when the proposed £30,000 threshold would disproportionately affect Highland. </w:t>
      </w:r>
      <w:r w:rsidR="009E6D08" w:rsidRPr="00436442">
        <w:rPr>
          <w:rFonts w:ascii="Arial" w:hAnsi="Arial" w:cs="Arial"/>
          <w:sz w:val="23"/>
          <w:szCs w:val="23"/>
        </w:rPr>
        <w:t xml:space="preserve"> </w:t>
      </w:r>
      <w:r w:rsidR="008A36F6" w:rsidRPr="00436442">
        <w:rPr>
          <w:rFonts w:ascii="Arial" w:hAnsi="Arial" w:cs="Arial"/>
          <w:sz w:val="23"/>
          <w:szCs w:val="23"/>
        </w:rPr>
        <w:t xml:space="preserve">Situations will arise when areas such as London and the South East will be able to attract migrants to fill a certain type of vacancy while areas like Highland will be prevented from filling the equivalent post by the threshold. </w:t>
      </w:r>
      <w:r w:rsidR="005A287C" w:rsidRPr="00436442">
        <w:rPr>
          <w:rFonts w:ascii="Arial" w:hAnsi="Arial" w:cs="Arial"/>
          <w:sz w:val="23"/>
          <w:szCs w:val="23"/>
        </w:rPr>
        <w:t xml:space="preserve"> </w:t>
      </w:r>
      <w:r w:rsidR="008A36F6" w:rsidRPr="00436442">
        <w:rPr>
          <w:rFonts w:ascii="Arial" w:hAnsi="Arial" w:cs="Arial"/>
          <w:sz w:val="23"/>
          <w:szCs w:val="23"/>
        </w:rPr>
        <w:t xml:space="preserve">A good example of this would be professions such as dentistry where starting salaries in the Highlands are commonly below the £30,000 threshold while in many other areas they are above it. </w:t>
      </w:r>
      <w:r w:rsidR="005A287C" w:rsidRPr="00436442">
        <w:rPr>
          <w:rFonts w:ascii="Arial" w:hAnsi="Arial" w:cs="Arial"/>
          <w:sz w:val="23"/>
          <w:szCs w:val="23"/>
        </w:rPr>
        <w:t xml:space="preserve"> </w:t>
      </w:r>
      <w:r w:rsidR="008A36F6" w:rsidRPr="00436442">
        <w:rPr>
          <w:rFonts w:ascii="Arial" w:hAnsi="Arial" w:cs="Arial"/>
          <w:sz w:val="23"/>
          <w:szCs w:val="23"/>
        </w:rPr>
        <w:t>The same situation is likely to arise with those working for a period of time who wish to achieve settled status as the current £35,800 settlement income threshold will be harder to achieve in Highland.</w:t>
      </w:r>
    </w:p>
    <w:p w14:paraId="54E6B2C2" w14:textId="77777777" w:rsidR="00F9145D" w:rsidRPr="00436442" w:rsidRDefault="00F9145D" w:rsidP="00F9145D">
      <w:pPr>
        <w:pStyle w:val="NormalWeb"/>
        <w:spacing w:before="0" w:beforeAutospacing="0" w:after="0" w:afterAutospacing="0"/>
        <w:rPr>
          <w:rFonts w:ascii="Arial" w:hAnsi="Arial" w:cs="Arial"/>
          <w:sz w:val="23"/>
          <w:szCs w:val="23"/>
        </w:rPr>
      </w:pPr>
    </w:p>
    <w:p w14:paraId="4632CE8F" w14:textId="0030D803" w:rsidR="00561898" w:rsidRDefault="00A522A3" w:rsidP="00561898">
      <w:pPr>
        <w:pStyle w:val="ListParagraph"/>
        <w:numPr>
          <w:ilvl w:val="0"/>
          <w:numId w:val="2"/>
        </w:numPr>
        <w:rPr>
          <w:rFonts w:ascii="Arial" w:eastAsia="Times New Roman" w:hAnsi="Arial" w:cs="Arial"/>
          <w:sz w:val="23"/>
          <w:szCs w:val="23"/>
          <w:lang w:eastAsia="en-GB"/>
        </w:rPr>
      </w:pPr>
      <w:r w:rsidRPr="00436442">
        <w:rPr>
          <w:rFonts w:ascii="Arial" w:eastAsia="Times New Roman" w:hAnsi="Arial" w:cs="Arial"/>
          <w:sz w:val="23"/>
          <w:szCs w:val="23"/>
          <w:lang w:eastAsia="en-GB"/>
        </w:rPr>
        <w:t xml:space="preserve">Scottish Borders predict </w:t>
      </w:r>
      <w:r w:rsidR="00AE45C3" w:rsidRPr="00436442">
        <w:rPr>
          <w:rFonts w:ascii="Arial" w:eastAsia="Times New Roman" w:hAnsi="Arial" w:cs="Arial"/>
          <w:sz w:val="23"/>
          <w:szCs w:val="23"/>
          <w:lang w:eastAsia="en-GB"/>
        </w:rPr>
        <w:t xml:space="preserve">that </w:t>
      </w:r>
      <w:r w:rsidR="00EF3E28" w:rsidRPr="00436442">
        <w:rPr>
          <w:rFonts w:ascii="Arial" w:eastAsia="Times New Roman" w:hAnsi="Arial" w:cs="Arial"/>
          <w:sz w:val="23"/>
          <w:szCs w:val="23"/>
          <w:lang w:eastAsia="en-GB"/>
        </w:rPr>
        <w:t>the salary threshold will</w:t>
      </w:r>
      <w:r w:rsidR="00AE45C3" w:rsidRPr="00436442">
        <w:rPr>
          <w:rFonts w:ascii="Arial" w:eastAsia="Times New Roman" w:hAnsi="Arial" w:cs="Arial"/>
          <w:sz w:val="23"/>
          <w:szCs w:val="23"/>
          <w:lang w:eastAsia="en-GB"/>
        </w:rPr>
        <w:t xml:space="preserve"> have a significant negative impact on </w:t>
      </w:r>
      <w:r w:rsidR="00EF3E28" w:rsidRPr="00436442">
        <w:rPr>
          <w:rFonts w:ascii="Arial" w:eastAsia="Times New Roman" w:hAnsi="Arial" w:cs="Arial"/>
          <w:sz w:val="23"/>
          <w:szCs w:val="23"/>
          <w:lang w:eastAsia="en-GB"/>
        </w:rPr>
        <w:t>their</w:t>
      </w:r>
      <w:r w:rsidR="00AE45C3" w:rsidRPr="00436442">
        <w:rPr>
          <w:rFonts w:ascii="Arial" w:eastAsia="Times New Roman" w:hAnsi="Arial" w:cs="Arial"/>
          <w:sz w:val="23"/>
          <w:szCs w:val="23"/>
          <w:lang w:eastAsia="en-GB"/>
        </w:rPr>
        <w:t xml:space="preserve"> regional economy.  Scottish Borders is a low wage economy, with wage levels which are amongst the lowest in Scotland.  The median wage for all workers in the Scottish Borders is around £20,000 annually, well below the proposed threshold.  </w:t>
      </w:r>
      <w:r w:rsidR="00EF3E28" w:rsidRPr="00436442">
        <w:rPr>
          <w:rFonts w:ascii="Arial" w:eastAsia="Times New Roman" w:hAnsi="Arial" w:cs="Arial"/>
          <w:sz w:val="23"/>
          <w:szCs w:val="23"/>
          <w:lang w:eastAsia="en-GB"/>
        </w:rPr>
        <w:t>They</w:t>
      </w:r>
      <w:r w:rsidR="00AE45C3" w:rsidRPr="00436442">
        <w:rPr>
          <w:rFonts w:ascii="Arial" w:eastAsia="Times New Roman" w:hAnsi="Arial" w:cs="Arial"/>
          <w:sz w:val="23"/>
          <w:szCs w:val="23"/>
          <w:lang w:eastAsia="en-GB"/>
        </w:rPr>
        <w:t xml:space="preserve"> estimate that only 1 in 4 jobs in the Scottish Borders would be available to migrant workers.</w:t>
      </w:r>
    </w:p>
    <w:p w14:paraId="3FA13AE3" w14:textId="77777777" w:rsidR="008F7788" w:rsidRPr="008F7788" w:rsidRDefault="008F7788" w:rsidP="008F7788">
      <w:pPr>
        <w:pStyle w:val="ListParagraph"/>
        <w:rPr>
          <w:rFonts w:ascii="Arial" w:eastAsia="Times New Roman" w:hAnsi="Arial" w:cs="Arial"/>
          <w:sz w:val="23"/>
          <w:szCs w:val="23"/>
          <w:lang w:eastAsia="en-GB"/>
        </w:rPr>
      </w:pPr>
    </w:p>
    <w:p w14:paraId="46F01354" w14:textId="56D85B92" w:rsidR="00561898" w:rsidRDefault="000A3A72" w:rsidP="00FF7EBC">
      <w:pPr>
        <w:pStyle w:val="ListParagraph"/>
        <w:numPr>
          <w:ilvl w:val="0"/>
          <w:numId w:val="2"/>
        </w:numPr>
        <w:rPr>
          <w:rFonts w:ascii="Arial" w:eastAsia="Times New Roman" w:hAnsi="Arial" w:cs="Arial"/>
          <w:sz w:val="23"/>
          <w:szCs w:val="23"/>
          <w:lang w:eastAsia="en-GB"/>
        </w:rPr>
      </w:pPr>
      <w:r w:rsidRPr="000916D3">
        <w:rPr>
          <w:rFonts w:ascii="Arial" w:eastAsia="Times New Roman" w:hAnsi="Arial" w:cs="Arial"/>
          <w:sz w:val="23"/>
          <w:szCs w:val="23"/>
          <w:lang w:eastAsia="en-GB"/>
        </w:rPr>
        <w:t xml:space="preserve">The gross weekly wage in 2018 for the Outer Hebrides was </w:t>
      </w:r>
      <w:r w:rsidR="0008061F" w:rsidRPr="000916D3">
        <w:rPr>
          <w:rFonts w:ascii="Arial" w:eastAsia="Times New Roman" w:hAnsi="Arial" w:cs="Arial"/>
          <w:sz w:val="23"/>
          <w:szCs w:val="23"/>
          <w:lang w:eastAsia="en-GB"/>
        </w:rPr>
        <w:t>£476.70 compared to a Scottish average of £562.70.</w:t>
      </w:r>
      <w:r w:rsidR="00BC1641" w:rsidRPr="000916D3">
        <w:rPr>
          <w:rFonts w:ascii="Arial" w:eastAsia="Times New Roman" w:hAnsi="Arial" w:cs="Arial"/>
          <w:sz w:val="23"/>
          <w:szCs w:val="23"/>
          <w:lang w:eastAsia="en-GB"/>
        </w:rPr>
        <w:t xml:space="preserve">  </w:t>
      </w:r>
    </w:p>
    <w:p w14:paraId="453DC216" w14:textId="77777777" w:rsidR="000916D3" w:rsidRPr="000916D3" w:rsidRDefault="000916D3" w:rsidP="000916D3">
      <w:pPr>
        <w:rPr>
          <w:rFonts w:ascii="Arial" w:eastAsia="Times New Roman" w:hAnsi="Arial" w:cs="Arial"/>
          <w:sz w:val="23"/>
          <w:szCs w:val="23"/>
          <w:lang w:eastAsia="en-GB"/>
        </w:rPr>
      </w:pPr>
    </w:p>
    <w:p w14:paraId="21A5ABFA" w14:textId="5E5578C6" w:rsidR="003F21FC" w:rsidRPr="00436442" w:rsidRDefault="00A522A3" w:rsidP="003F21FC">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Dumfries and Galloway highlighted that they have the second lowest average salary in Scotland.  </w:t>
      </w:r>
      <w:r w:rsidR="006E6F6A" w:rsidRPr="00436442">
        <w:rPr>
          <w:rFonts w:ascii="Arial" w:hAnsi="Arial" w:cs="Arial"/>
          <w:sz w:val="23"/>
          <w:szCs w:val="23"/>
        </w:rPr>
        <w:t>The</w:t>
      </w:r>
      <w:r w:rsidR="0080063F" w:rsidRPr="00436442">
        <w:rPr>
          <w:rFonts w:ascii="Arial" w:hAnsi="Arial" w:cs="Arial"/>
          <w:sz w:val="23"/>
          <w:szCs w:val="23"/>
        </w:rPr>
        <w:t>y have raised particular concerns about the</w:t>
      </w:r>
      <w:r w:rsidRPr="00436442">
        <w:rPr>
          <w:rFonts w:ascii="Arial" w:hAnsi="Arial" w:cs="Arial"/>
          <w:sz w:val="23"/>
          <w:szCs w:val="23"/>
        </w:rPr>
        <w:t xml:space="preserve"> impact</w:t>
      </w:r>
      <w:r w:rsidR="0080063F" w:rsidRPr="00436442">
        <w:rPr>
          <w:rFonts w:ascii="Arial" w:hAnsi="Arial" w:cs="Arial"/>
          <w:sz w:val="23"/>
          <w:szCs w:val="23"/>
        </w:rPr>
        <w:t xml:space="preserve"> of the salary threshold on</w:t>
      </w:r>
      <w:r w:rsidRPr="00436442">
        <w:rPr>
          <w:rFonts w:ascii="Arial" w:hAnsi="Arial" w:cs="Arial"/>
          <w:sz w:val="23"/>
          <w:szCs w:val="23"/>
        </w:rPr>
        <w:t xml:space="preserve"> local businesses and industry in the region where salaries are generally lower than the rest of Scotland (particularly those in the Central Belt) due to </w:t>
      </w:r>
      <w:r w:rsidR="00141279" w:rsidRPr="00436442">
        <w:rPr>
          <w:rFonts w:ascii="Arial" w:hAnsi="Arial" w:cs="Arial"/>
          <w:sz w:val="23"/>
          <w:szCs w:val="23"/>
        </w:rPr>
        <w:t xml:space="preserve">the </w:t>
      </w:r>
      <w:r w:rsidRPr="00436442">
        <w:rPr>
          <w:rFonts w:ascii="Arial" w:hAnsi="Arial" w:cs="Arial"/>
          <w:sz w:val="23"/>
          <w:szCs w:val="23"/>
        </w:rPr>
        <w:t>lower cost of living.</w:t>
      </w:r>
    </w:p>
    <w:p w14:paraId="10072065" w14:textId="77777777" w:rsidR="00666A5E" w:rsidRPr="00436442" w:rsidRDefault="00666A5E" w:rsidP="00666A5E">
      <w:pPr>
        <w:pStyle w:val="NormalWeb"/>
        <w:spacing w:before="0" w:beforeAutospacing="0" w:after="0" w:afterAutospacing="0"/>
        <w:rPr>
          <w:rFonts w:ascii="Arial" w:hAnsi="Arial" w:cs="Arial"/>
          <w:sz w:val="23"/>
          <w:szCs w:val="23"/>
        </w:rPr>
      </w:pPr>
    </w:p>
    <w:p w14:paraId="2EB6E0C1" w14:textId="5A4D14B1" w:rsidR="00A522A3" w:rsidRPr="00436442" w:rsidRDefault="00A522A3" w:rsidP="00666A5E">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 xml:space="preserve">Fife Council </w:t>
      </w:r>
      <w:r w:rsidR="006440A2" w:rsidRPr="00436442">
        <w:rPr>
          <w:rFonts w:ascii="Arial" w:hAnsi="Arial" w:cs="Arial"/>
          <w:sz w:val="23"/>
          <w:szCs w:val="23"/>
        </w:rPr>
        <w:t xml:space="preserve">noted that they </w:t>
      </w:r>
      <w:r w:rsidRPr="00436442">
        <w:rPr>
          <w:rFonts w:ascii="Arial" w:hAnsi="Arial" w:cs="Arial"/>
          <w:sz w:val="23"/>
          <w:szCs w:val="23"/>
        </w:rPr>
        <w:t xml:space="preserve">employ workers who meet the qualification requirement but not the proposed £30,000 salary threshold, </w:t>
      </w:r>
      <w:r w:rsidR="006059D4" w:rsidRPr="00436442">
        <w:rPr>
          <w:rFonts w:ascii="Arial" w:hAnsi="Arial" w:cs="Arial"/>
          <w:sz w:val="23"/>
          <w:szCs w:val="23"/>
        </w:rPr>
        <w:t xml:space="preserve">and that </w:t>
      </w:r>
      <w:r w:rsidRPr="00436442">
        <w:rPr>
          <w:rFonts w:ascii="Arial" w:hAnsi="Arial" w:cs="Arial"/>
          <w:sz w:val="23"/>
          <w:szCs w:val="23"/>
        </w:rPr>
        <w:t>the starting salary in their grading structure is £18,000.</w:t>
      </w:r>
      <w:r w:rsidR="00CF492A" w:rsidRPr="00436442">
        <w:rPr>
          <w:rFonts w:ascii="Arial" w:hAnsi="Arial" w:cs="Arial"/>
          <w:sz w:val="23"/>
          <w:szCs w:val="23"/>
        </w:rPr>
        <w:t xml:space="preserve">  The salary threshold will therefore impact their ability to recruit in the same way as they do at present.</w:t>
      </w:r>
    </w:p>
    <w:p w14:paraId="3CB4805C" w14:textId="3047BC8C" w:rsidR="00AE45C3" w:rsidRPr="00436442" w:rsidRDefault="00AE45C3" w:rsidP="00EB3E43">
      <w:pPr>
        <w:pStyle w:val="NormalWeb"/>
        <w:ind w:firstLine="357"/>
        <w:rPr>
          <w:rFonts w:ascii="Arial" w:hAnsi="Arial" w:cs="Arial"/>
          <w:i/>
          <w:iCs/>
          <w:sz w:val="23"/>
          <w:szCs w:val="23"/>
        </w:rPr>
      </w:pPr>
      <w:r w:rsidRPr="00436442">
        <w:rPr>
          <w:rFonts w:ascii="Arial" w:hAnsi="Arial" w:cs="Arial"/>
          <w:i/>
          <w:iCs/>
          <w:sz w:val="23"/>
          <w:szCs w:val="23"/>
        </w:rPr>
        <w:t xml:space="preserve">Part-time workers </w:t>
      </w:r>
    </w:p>
    <w:p w14:paraId="5B70404A" w14:textId="4B20D55E" w:rsidR="00AB500D" w:rsidRPr="00436442" w:rsidRDefault="00455E57" w:rsidP="00AB500D">
      <w:pPr>
        <w:pStyle w:val="NormalWeb"/>
        <w:numPr>
          <w:ilvl w:val="0"/>
          <w:numId w:val="2"/>
        </w:numPr>
        <w:rPr>
          <w:rFonts w:ascii="Arial" w:hAnsi="Arial" w:cs="Arial"/>
          <w:sz w:val="23"/>
          <w:szCs w:val="23"/>
        </w:rPr>
      </w:pPr>
      <w:r w:rsidRPr="00436442">
        <w:rPr>
          <w:rFonts w:ascii="Arial" w:hAnsi="Arial" w:cs="Arial"/>
          <w:sz w:val="23"/>
          <w:szCs w:val="23"/>
        </w:rPr>
        <w:t>The recruitment of p</w:t>
      </w:r>
      <w:r w:rsidR="00AB500D" w:rsidRPr="00436442">
        <w:rPr>
          <w:rFonts w:ascii="Arial" w:hAnsi="Arial" w:cs="Arial"/>
          <w:sz w:val="23"/>
          <w:szCs w:val="23"/>
        </w:rPr>
        <w:t>art time workers was also raised as an issue</w:t>
      </w:r>
      <w:r w:rsidR="000D4B2C" w:rsidRPr="00436442">
        <w:rPr>
          <w:rFonts w:ascii="Arial" w:hAnsi="Arial" w:cs="Arial"/>
          <w:sz w:val="23"/>
          <w:szCs w:val="23"/>
        </w:rPr>
        <w:t>.  W</w:t>
      </w:r>
      <w:r w:rsidR="00AB500D" w:rsidRPr="00436442">
        <w:rPr>
          <w:rFonts w:ascii="Arial" w:hAnsi="Arial" w:cs="Arial"/>
          <w:sz w:val="23"/>
          <w:szCs w:val="23"/>
        </w:rPr>
        <w:t xml:space="preserve">hile there </w:t>
      </w:r>
      <w:r w:rsidR="008A36F6" w:rsidRPr="00436442">
        <w:rPr>
          <w:rFonts w:ascii="Arial" w:hAnsi="Arial" w:cs="Arial"/>
          <w:sz w:val="23"/>
          <w:szCs w:val="23"/>
        </w:rPr>
        <w:t xml:space="preserve">will </w:t>
      </w:r>
      <w:r w:rsidR="00AB500D" w:rsidRPr="00436442">
        <w:rPr>
          <w:rFonts w:ascii="Arial" w:hAnsi="Arial" w:cs="Arial"/>
          <w:sz w:val="23"/>
          <w:szCs w:val="23"/>
        </w:rPr>
        <w:t>be</w:t>
      </w:r>
      <w:r w:rsidR="008A36F6" w:rsidRPr="00436442">
        <w:rPr>
          <w:rFonts w:ascii="Arial" w:hAnsi="Arial" w:cs="Arial"/>
          <w:sz w:val="23"/>
          <w:szCs w:val="23"/>
        </w:rPr>
        <w:t xml:space="preserve"> a number of people who work part time through choice</w:t>
      </w:r>
      <w:r w:rsidR="00AB500D" w:rsidRPr="00436442">
        <w:rPr>
          <w:rFonts w:ascii="Arial" w:hAnsi="Arial" w:cs="Arial"/>
          <w:sz w:val="23"/>
          <w:szCs w:val="23"/>
        </w:rPr>
        <w:t xml:space="preserve">, </w:t>
      </w:r>
      <w:r w:rsidR="008A36F6" w:rsidRPr="00436442">
        <w:rPr>
          <w:rFonts w:ascii="Arial" w:hAnsi="Arial" w:cs="Arial"/>
          <w:sz w:val="23"/>
          <w:szCs w:val="23"/>
        </w:rPr>
        <w:t xml:space="preserve">there are also instances where the scale of service the area requires dictates what can be offered. </w:t>
      </w:r>
      <w:r w:rsidR="000D4B2C" w:rsidRPr="00436442">
        <w:rPr>
          <w:rFonts w:ascii="Arial" w:hAnsi="Arial" w:cs="Arial"/>
          <w:sz w:val="23"/>
          <w:szCs w:val="23"/>
        </w:rPr>
        <w:t xml:space="preserve"> </w:t>
      </w:r>
      <w:r w:rsidR="008A36F6" w:rsidRPr="00436442">
        <w:rPr>
          <w:rFonts w:ascii="Arial" w:hAnsi="Arial" w:cs="Arial"/>
          <w:sz w:val="23"/>
          <w:szCs w:val="23"/>
        </w:rPr>
        <w:t>Rural communities, particularly in more peripheral areas or on islands</w:t>
      </w:r>
      <w:r w:rsidR="000D4B2C" w:rsidRPr="00436442">
        <w:rPr>
          <w:rFonts w:ascii="Arial" w:hAnsi="Arial" w:cs="Arial"/>
          <w:sz w:val="23"/>
          <w:szCs w:val="23"/>
        </w:rPr>
        <w:t>,</w:t>
      </w:r>
      <w:r w:rsidR="008A36F6" w:rsidRPr="00436442">
        <w:rPr>
          <w:rFonts w:ascii="Arial" w:hAnsi="Arial" w:cs="Arial"/>
          <w:sz w:val="23"/>
          <w:szCs w:val="23"/>
        </w:rPr>
        <w:t xml:space="preserve"> may still require public services to be provided locally but in many cases the demand will not justify a full-time post in a given area. </w:t>
      </w:r>
      <w:r w:rsidR="00A61905" w:rsidRPr="00436442">
        <w:rPr>
          <w:rFonts w:ascii="Arial" w:hAnsi="Arial" w:cs="Arial"/>
          <w:sz w:val="23"/>
          <w:szCs w:val="23"/>
        </w:rPr>
        <w:t xml:space="preserve"> </w:t>
      </w:r>
      <w:r w:rsidR="008A36F6" w:rsidRPr="00436442">
        <w:rPr>
          <w:rFonts w:ascii="Arial" w:hAnsi="Arial" w:cs="Arial"/>
          <w:sz w:val="23"/>
          <w:szCs w:val="23"/>
        </w:rPr>
        <w:t>As geography can also prevent the same individual providing the same service in different areas at different times</w:t>
      </w:r>
      <w:r w:rsidR="00A61905" w:rsidRPr="00436442">
        <w:rPr>
          <w:rFonts w:ascii="Arial" w:hAnsi="Arial" w:cs="Arial"/>
          <w:sz w:val="23"/>
          <w:szCs w:val="23"/>
        </w:rPr>
        <w:t>,</w:t>
      </w:r>
      <w:r w:rsidR="008A36F6" w:rsidRPr="00436442">
        <w:rPr>
          <w:rFonts w:ascii="Arial" w:hAnsi="Arial" w:cs="Arial"/>
          <w:sz w:val="23"/>
          <w:szCs w:val="23"/>
        </w:rPr>
        <w:t xml:space="preserve"> this often leads to only part time posts being available. </w:t>
      </w:r>
      <w:r w:rsidR="00A61905" w:rsidRPr="00436442">
        <w:rPr>
          <w:rFonts w:ascii="Arial" w:hAnsi="Arial" w:cs="Arial"/>
          <w:sz w:val="23"/>
          <w:szCs w:val="23"/>
        </w:rPr>
        <w:t xml:space="preserve"> </w:t>
      </w:r>
      <w:r w:rsidR="008A36F6" w:rsidRPr="00436442">
        <w:rPr>
          <w:rFonts w:ascii="Arial" w:hAnsi="Arial" w:cs="Arial"/>
          <w:sz w:val="23"/>
          <w:szCs w:val="23"/>
        </w:rPr>
        <w:t>If these communities are not to be disadvantaged</w:t>
      </w:r>
      <w:r w:rsidR="00A61905" w:rsidRPr="00436442">
        <w:rPr>
          <w:rFonts w:ascii="Arial" w:hAnsi="Arial" w:cs="Arial"/>
          <w:sz w:val="23"/>
          <w:szCs w:val="23"/>
        </w:rPr>
        <w:t>,</w:t>
      </w:r>
      <w:r w:rsidR="008A36F6" w:rsidRPr="00436442">
        <w:rPr>
          <w:rFonts w:ascii="Arial" w:hAnsi="Arial" w:cs="Arial"/>
          <w:sz w:val="23"/>
          <w:szCs w:val="23"/>
        </w:rPr>
        <w:t xml:space="preserve"> a system is required that recognises essential posts which may not meet the salary threshold due to their required part time nature. </w:t>
      </w:r>
    </w:p>
    <w:p w14:paraId="6DD0F8DD" w14:textId="5E61DDAD" w:rsidR="00AB500D" w:rsidRPr="00436442" w:rsidRDefault="00AB500D" w:rsidP="00EB3E43">
      <w:pPr>
        <w:pStyle w:val="NormalWeb"/>
        <w:keepNext/>
        <w:ind w:firstLine="357"/>
        <w:rPr>
          <w:rFonts w:ascii="Arial" w:hAnsi="Arial" w:cs="Arial"/>
          <w:i/>
          <w:iCs/>
          <w:sz w:val="23"/>
          <w:szCs w:val="23"/>
        </w:rPr>
      </w:pPr>
      <w:r w:rsidRPr="00436442">
        <w:rPr>
          <w:rFonts w:ascii="Arial" w:hAnsi="Arial" w:cs="Arial"/>
          <w:i/>
          <w:iCs/>
          <w:sz w:val="23"/>
          <w:szCs w:val="23"/>
        </w:rPr>
        <w:t xml:space="preserve">Local businesses / economy </w:t>
      </w:r>
    </w:p>
    <w:p w14:paraId="77321AF9" w14:textId="299064B9" w:rsidR="00752B65" w:rsidRPr="00436442" w:rsidRDefault="00AB500D" w:rsidP="005B702D">
      <w:pPr>
        <w:pStyle w:val="NormalWeb"/>
        <w:keepNext/>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 xml:space="preserve">Many of our member </w:t>
      </w:r>
      <w:r w:rsidR="00EA5D0C" w:rsidRPr="00436442">
        <w:rPr>
          <w:rFonts w:ascii="Arial" w:hAnsi="Arial" w:cs="Arial"/>
          <w:sz w:val="23"/>
          <w:szCs w:val="23"/>
        </w:rPr>
        <w:t xml:space="preserve">councils </w:t>
      </w:r>
      <w:r w:rsidRPr="00436442">
        <w:rPr>
          <w:rFonts w:ascii="Arial" w:hAnsi="Arial" w:cs="Arial"/>
          <w:sz w:val="23"/>
          <w:szCs w:val="23"/>
        </w:rPr>
        <w:t>fe</w:t>
      </w:r>
      <w:r w:rsidR="00F82273" w:rsidRPr="00436442">
        <w:rPr>
          <w:rFonts w:ascii="Arial" w:hAnsi="Arial" w:cs="Arial"/>
          <w:sz w:val="23"/>
          <w:szCs w:val="23"/>
        </w:rPr>
        <w:t>el</w:t>
      </w:r>
      <w:r w:rsidRPr="00436442">
        <w:rPr>
          <w:rFonts w:ascii="Arial" w:hAnsi="Arial" w:cs="Arial"/>
          <w:sz w:val="23"/>
          <w:szCs w:val="23"/>
        </w:rPr>
        <w:t xml:space="preserve"> </w:t>
      </w:r>
      <w:r w:rsidR="008E4535" w:rsidRPr="00436442">
        <w:rPr>
          <w:rFonts w:ascii="Arial" w:hAnsi="Arial" w:cs="Arial"/>
          <w:sz w:val="23"/>
          <w:szCs w:val="23"/>
        </w:rPr>
        <w:t xml:space="preserve">that </w:t>
      </w:r>
      <w:r w:rsidRPr="00436442">
        <w:rPr>
          <w:rFonts w:ascii="Arial" w:hAnsi="Arial" w:cs="Arial"/>
          <w:sz w:val="23"/>
          <w:szCs w:val="23"/>
        </w:rPr>
        <w:t>the salary threshold is a blunt instrument, which will effectively rule out the option of sourcing migrant labour for large numbers of local businesses</w:t>
      </w:r>
      <w:r w:rsidR="00752B65" w:rsidRPr="00436442">
        <w:rPr>
          <w:rFonts w:ascii="Arial" w:hAnsi="Arial" w:cs="Arial"/>
          <w:sz w:val="23"/>
          <w:szCs w:val="23"/>
        </w:rPr>
        <w:t>,</w:t>
      </w:r>
      <w:r w:rsidRPr="00436442">
        <w:rPr>
          <w:rFonts w:ascii="Arial" w:hAnsi="Arial" w:cs="Arial"/>
          <w:sz w:val="23"/>
          <w:szCs w:val="23"/>
        </w:rPr>
        <w:t xml:space="preserve"> and impact on local econom</w:t>
      </w:r>
      <w:r w:rsidR="00752B65" w:rsidRPr="00436442">
        <w:rPr>
          <w:rFonts w:ascii="Arial" w:hAnsi="Arial" w:cs="Arial"/>
          <w:sz w:val="23"/>
          <w:szCs w:val="23"/>
        </w:rPr>
        <w:t>ies</w:t>
      </w:r>
      <w:r w:rsidRPr="00436442">
        <w:rPr>
          <w:rFonts w:ascii="Arial" w:hAnsi="Arial" w:cs="Arial"/>
          <w:sz w:val="23"/>
          <w:szCs w:val="23"/>
        </w:rPr>
        <w:t xml:space="preserve">.  </w:t>
      </w:r>
      <w:r w:rsidR="00F126E9" w:rsidRPr="00436442">
        <w:rPr>
          <w:rFonts w:ascii="Arial" w:hAnsi="Arial" w:cs="Arial"/>
          <w:sz w:val="23"/>
          <w:szCs w:val="23"/>
        </w:rPr>
        <w:t>There were strong views on how the proposed immigration policy would hinder the socio-economic development in some areas.  Our member authorities are calling for an immigration policy that will support the sustainability of communities and businesses in local areas</w:t>
      </w:r>
      <w:r w:rsidR="00752B65" w:rsidRPr="00436442">
        <w:rPr>
          <w:rFonts w:ascii="Arial" w:hAnsi="Arial" w:cs="Arial"/>
          <w:sz w:val="23"/>
          <w:szCs w:val="23"/>
        </w:rPr>
        <w:t>.</w:t>
      </w:r>
    </w:p>
    <w:p w14:paraId="4641B8F4" w14:textId="77777777" w:rsidR="00752B65" w:rsidRPr="00436442" w:rsidRDefault="00752B65" w:rsidP="00752B65">
      <w:pPr>
        <w:pStyle w:val="NormalWeb"/>
        <w:spacing w:before="0" w:beforeAutospacing="0" w:after="0" w:afterAutospacing="0"/>
        <w:ind w:left="357"/>
        <w:rPr>
          <w:rFonts w:ascii="Arial" w:hAnsi="Arial" w:cs="Arial"/>
          <w:sz w:val="23"/>
          <w:szCs w:val="23"/>
        </w:rPr>
      </w:pPr>
    </w:p>
    <w:p w14:paraId="13C4C47B" w14:textId="03F1C1E4" w:rsidR="0002709F" w:rsidRPr="00436442" w:rsidRDefault="00F126E9" w:rsidP="0002709F">
      <w:pPr>
        <w:pStyle w:val="ListParagraph"/>
        <w:numPr>
          <w:ilvl w:val="0"/>
          <w:numId w:val="2"/>
        </w:numPr>
        <w:ind w:left="357"/>
        <w:rPr>
          <w:rFonts w:ascii="Arial" w:eastAsia="Times New Roman" w:hAnsi="Arial" w:cs="Arial"/>
          <w:sz w:val="23"/>
          <w:szCs w:val="23"/>
          <w:lang w:eastAsia="en-GB"/>
        </w:rPr>
      </w:pPr>
      <w:r w:rsidRPr="00436442">
        <w:rPr>
          <w:rFonts w:ascii="Arial" w:eastAsia="Times New Roman" w:hAnsi="Arial" w:cs="Arial"/>
          <w:sz w:val="23"/>
          <w:szCs w:val="23"/>
          <w:lang w:eastAsia="en-GB"/>
        </w:rPr>
        <w:t>For example, Scottish Borders</w:t>
      </w:r>
      <w:r w:rsidR="00EA5D0C" w:rsidRPr="00436442">
        <w:rPr>
          <w:rFonts w:ascii="Arial" w:eastAsia="Times New Roman" w:hAnsi="Arial" w:cs="Arial"/>
          <w:sz w:val="23"/>
          <w:szCs w:val="23"/>
          <w:lang w:eastAsia="en-GB"/>
        </w:rPr>
        <w:t>’s</w:t>
      </w:r>
      <w:r w:rsidRPr="00436442">
        <w:rPr>
          <w:rFonts w:ascii="Arial" w:eastAsia="Times New Roman" w:hAnsi="Arial" w:cs="Arial"/>
          <w:sz w:val="23"/>
          <w:szCs w:val="23"/>
          <w:lang w:eastAsia="en-GB"/>
        </w:rPr>
        <w:t xml:space="preserve"> economy is more reliant on sectors such as Agriculture, Forestry and Fishing</w:t>
      </w:r>
      <w:r w:rsidR="008E4535" w:rsidRPr="00436442">
        <w:rPr>
          <w:rFonts w:ascii="Arial" w:eastAsia="Times New Roman" w:hAnsi="Arial" w:cs="Arial"/>
          <w:sz w:val="23"/>
          <w:szCs w:val="23"/>
          <w:lang w:eastAsia="en-GB"/>
        </w:rPr>
        <w:t>,</w:t>
      </w:r>
      <w:r w:rsidRPr="00436442">
        <w:rPr>
          <w:rFonts w:ascii="Arial" w:eastAsia="Times New Roman" w:hAnsi="Arial" w:cs="Arial"/>
          <w:sz w:val="23"/>
          <w:szCs w:val="23"/>
          <w:lang w:eastAsia="en-GB"/>
        </w:rPr>
        <w:t xml:space="preserve"> Food and Drink processing</w:t>
      </w:r>
      <w:r w:rsidR="008E4535" w:rsidRPr="00436442">
        <w:rPr>
          <w:rFonts w:ascii="Arial" w:eastAsia="Times New Roman" w:hAnsi="Arial" w:cs="Arial"/>
          <w:sz w:val="23"/>
          <w:szCs w:val="23"/>
          <w:lang w:eastAsia="en-GB"/>
        </w:rPr>
        <w:t>,</w:t>
      </w:r>
      <w:r w:rsidRPr="00436442">
        <w:rPr>
          <w:rFonts w:ascii="Arial" w:eastAsia="Times New Roman" w:hAnsi="Arial" w:cs="Arial"/>
          <w:sz w:val="23"/>
          <w:szCs w:val="23"/>
          <w:lang w:eastAsia="en-GB"/>
        </w:rPr>
        <w:t xml:space="preserve"> and Tourism and Hospitality.  These </w:t>
      </w:r>
      <w:r w:rsidR="00F61BC5" w:rsidRPr="00436442">
        <w:rPr>
          <w:rFonts w:ascii="Arial" w:eastAsia="Times New Roman" w:hAnsi="Arial" w:cs="Arial"/>
          <w:sz w:val="23"/>
          <w:szCs w:val="23"/>
          <w:lang w:eastAsia="en-GB"/>
        </w:rPr>
        <w:t>are</w:t>
      </w:r>
      <w:r w:rsidRPr="00436442">
        <w:rPr>
          <w:rFonts w:ascii="Arial" w:eastAsia="Times New Roman" w:hAnsi="Arial" w:cs="Arial"/>
          <w:sz w:val="23"/>
          <w:szCs w:val="23"/>
          <w:lang w:eastAsia="en-GB"/>
        </w:rPr>
        <w:t xml:space="preserve"> largely considered to be low wage industries</w:t>
      </w:r>
      <w:r w:rsidR="00F61BC5" w:rsidRPr="00436442">
        <w:rPr>
          <w:rFonts w:ascii="Arial" w:eastAsia="Times New Roman" w:hAnsi="Arial" w:cs="Arial"/>
          <w:sz w:val="23"/>
          <w:szCs w:val="23"/>
          <w:lang w:eastAsia="en-GB"/>
        </w:rPr>
        <w:t xml:space="preserve"> which e</w:t>
      </w:r>
      <w:r w:rsidR="001004B1" w:rsidRPr="00436442">
        <w:rPr>
          <w:rFonts w:ascii="Arial" w:eastAsia="Times New Roman" w:hAnsi="Arial" w:cs="Arial"/>
          <w:sz w:val="23"/>
          <w:szCs w:val="23"/>
          <w:lang w:eastAsia="en-GB"/>
        </w:rPr>
        <w:t>m</w:t>
      </w:r>
      <w:r w:rsidR="00F61BC5" w:rsidRPr="00436442">
        <w:rPr>
          <w:rFonts w:ascii="Arial" w:eastAsia="Times New Roman" w:hAnsi="Arial" w:cs="Arial"/>
          <w:sz w:val="23"/>
          <w:szCs w:val="23"/>
          <w:lang w:eastAsia="en-GB"/>
        </w:rPr>
        <w:t>ploy significant numbers of migrant workers</w:t>
      </w:r>
      <w:r w:rsidRPr="00436442">
        <w:rPr>
          <w:rFonts w:ascii="Arial" w:eastAsia="Times New Roman" w:hAnsi="Arial" w:cs="Arial"/>
          <w:sz w:val="23"/>
          <w:szCs w:val="23"/>
          <w:lang w:eastAsia="en-GB"/>
        </w:rPr>
        <w:t>.  Supporting these businesses in an environment where they cannot access migrant labour without paying a salary of £30,000 will be challenging, and they believe that this will severely test the sustainability of a number of key businesses in the Scottish Borders.</w:t>
      </w:r>
    </w:p>
    <w:p w14:paraId="4AAE1768" w14:textId="77777777" w:rsidR="0002709F" w:rsidRPr="00436442" w:rsidRDefault="0002709F" w:rsidP="0002709F">
      <w:pPr>
        <w:rPr>
          <w:rFonts w:ascii="Arial" w:eastAsia="Times New Roman" w:hAnsi="Arial" w:cs="Arial"/>
          <w:sz w:val="23"/>
          <w:szCs w:val="23"/>
          <w:lang w:eastAsia="en-GB"/>
        </w:rPr>
      </w:pPr>
    </w:p>
    <w:p w14:paraId="7F26FFC1" w14:textId="0B7ECCAA" w:rsidR="002B4661" w:rsidRPr="00436442" w:rsidRDefault="00F126E9" w:rsidP="002B4661">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 xml:space="preserve">Scottish Borders </w:t>
      </w:r>
      <w:r w:rsidR="0002709F" w:rsidRPr="00436442">
        <w:rPr>
          <w:rFonts w:ascii="Arial" w:hAnsi="Arial" w:cs="Arial"/>
          <w:sz w:val="23"/>
          <w:szCs w:val="23"/>
        </w:rPr>
        <w:t xml:space="preserve">also </w:t>
      </w:r>
      <w:r w:rsidRPr="00436442">
        <w:rPr>
          <w:rFonts w:ascii="Arial" w:hAnsi="Arial" w:cs="Arial"/>
          <w:sz w:val="23"/>
          <w:szCs w:val="23"/>
        </w:rPr>
        <w:t xml:space="preserve">emphasised that they </w:t>
      </w:r>
      <w:r w:rsidR="00AB500D" w:rsidRPr="00436442">
        <w:rPr>
          <w:rFonts w:ascii="Arial" w:hAnsi="Arial" w:cs="Arial"/>
          <w:sz w:val="23"/>
          <w:szCs w:val="23"/>
        </w:rPr>
        <w:t>have an increasing shortage of working age people, out</w:t>
      </w:r>
      <w:r w:rsidR="00F97518" w:rsidRPr="00436442">
        <w:rPr>
          <w:rFonts w:ascii="Arial" w:hAnsi="Arial" w:cs="Arial"/>
          <w:sz w:val="23"/>
          <w:szCs w:val="23"/>
        </w:rPr>
        <w:t xml:space="preserve"> </w:t>
      </w:r>
      <w:r w:rsidR="00AB500D" w:rsidRPr="00436442">
        <w:rPr>
          <w:rFonts w:ascii="Arial" w:hAnsi="Arial" w:cs="Arial"/>
          <w:sz w:val="23"/>
          <w:szCs w:val="23"/>
        </w:rPr>
        <w:t xml:space="preserve">migration of young people, low unemployment and thus limited latent capacity, and an increasing demand for people across </w:t>
      </w:r>
      <w:r w:rsidRPr="00436442">
        <w:rPr>
          <w:rFonts w:ascii="Arial" w:hAnsi="Arial" w:cs="Arial"/>
          <w:sz w:val="23"/>
          <w:szCs w:val="23"/>
        </w:rPr>
        <w:t>their</w:t>
      </w:r>
      <w:r w:rsidR="00AB500D" w:rsidRPr="00436442">
        <w:rPr>
          <w:rFonts w:ascii="Arial" w:hAnsi="Arial" w:cs="Arial"/>
          <w:sz w:val="23"/>
          <w:szCs w:val="23"/>
        </w:rPr>
        <w:t xml:space="preserve"> economy in key sectors such as Food and Drink</w:t>
      </w:r>
      <w:r w:rsidRPr="00436442">
        <w:rPr>
          <w:rFonts w:ascii="Arial" w:hAnsi="Arial" w:cs="Arial"/>
          <w:sz w:val="23"/>
          <w:szCs w:val="23"/>
        </w:rPr>
        <w:t>.</w:t>
      </w:r>
    </w:p>
    <w:p w14:paraId="184C8B4A" w14:textId="77777777" w:rsidR="002B4661" w:rsidRPr="00436442" w:rsidRDefault="002B4661" w:rsidP="002B4661">
      <w:pPr>
        <w:pStyle w:val="NormalWeb"/>
        <w:spacing w:before="0" w:beforeAutospacing="0" w:after="0" w:afterAutospacing="0"/>
        <w:rPr>
          <w:rFonts w:ascii="Arial" w:hAnsi="Arial" w:cs="Arial"/>
          <w:sz w:val="23"/>
          <w:szCs w:val="23"/>
        </w:rPr>
      </w:pPr>
    </w:p>
    <w:p w14:paraId="068F7DE0" w14:textId="4218C15C" w:rsidR="00315F4F" w:rsidRPr="00436442" w:rsidRDefault="00F126E9" w:rsidP="003A1078">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 xml:space="preserve">North Ayrshire Council believe that any initiatives that restrict the flow of labour could have a potential impact on their local and regional business base. </w:t>
      </w:r>
      <w:r w:rsidR="002B4661" w:rsidRPr="00436442">
        <w:rPr>
          <w:rFonts w:ascii="Arial" w:hAnsi="Arial" w:cs="Arial"/>
          <w:sz w:val="23"/>
          <w:szCs w:val="23"/>
        </w:rPr>
        <w:t xml:space="preserve"> </w:t>
      </w:r>
      <w:r w:rsidRPr="00436442">
        <w:rPr>
          <w:rFonts w:ascii="Arial" w:hAnsi="Arial" w:cs="Arial"/>
          <w:sz w:val="23"/>
          <w:szCs w:val="23"/>
        </w:rPr>
        <w:t xml:space="preserve">Salary caps will </w:t>
      </w:r>
      <w:r w:rsidRPr="00436442">
        <w:rPr>
          <w:rFonts w:ascii="Arial" w:hAnsi="Arial" w:cs="Arial"/>
          <w:sz w:val="23"/>
          <w:szCs w:val="23"/>
        </w:rPr>
        <w:lastRenderedPageBreak/>
        <w:t xml:space="preserve">be difficult to get right for particular sectors and regions and could end up adversely impacting lower wage sectors.  Evidence from local businesses shows skills shortages are already an issue, compounded by an out migration of </w:t>
      </w:r>
      <w:r w:rsidR="00F97518" w:rsidRPr="00436442">
        <w:rPr>
          <w:rFonts w:ascii="Arial" w:hAnsi="Arial" w:cs="Arial"/>
          <w:sz w:val="23"/>
          <w:szCs w:val="23"/>
        </w:rPr>
        <w:t xml:space="preserve">the </w:t>
      </w:r>
      <w:r w:rsidRPr="00436442">
        <w:rPr>
          <w:rFonts w:ascii="Arial" w:hAnsi="Arial" w:cs="Arial"/>
          <w:sz w:val="23"/>
          <w:szCs w:val="23"/>
        </w:rPr>
        <w:t xml:space="preserve">working age population. </w:t>
      </w:r>
      <w:r w:rsidR="00F97518" w:rsidRPr="00436442">
        <w:rPr>
          <w:rFonts w:ascii="Arial" w:hAnsi="Arial" w:cs="Arial"/>
          <w:sz w:val="23"/>
          <w:szCs w:val="23"/>
        </w:rPr>
        <w:t xml:space="preserve"> </w:t>
      </w:r>
      <w:r w:rsidRPr="00436442">
        <w:rPr>
          <w:rFonts w:ascii="Arial" w:hAnsi="Arial" w:cs="Arial"/>
          <w:sz w:val="23"/>
          <w:szCs w:val="23"/>
        </w:rPr>
        <w:t xml:space="preserve">Particular consideration should be given to ensuring locally important sectors such as health and social care and tourism are able to attract sufficient workers. </w:t>
      </w:r>
      <w:r w:rsidR="00DD0BBF" w:rsidRPr="00436442">
        <w:rPr>
          <w:rFonts w:ascii="Arial" w:hAnsi="Arial" w:cs="Arial"/>
          <w:sz w:val="23"/>
          <w:szCs w:val="23"/>
        </w:rPr>
        <w:t xml:space="preserve"> </w:t>
      </w:r>
      <w:r w:rsidRPr="00436442">
        <w:rPr>
          <w:rFonts w:ascii="Arial" w:hAnsi="Arial" w:cs="Arial"/>
          <w:sz w:val="23"/>
          <w:szCs w:val="23"/>
        </w:rPr>
        <w:t xml:space="preserve">Further to this, engineers and manufacturing businesses are also commenting that they are finding it extremely difficult to recruit experienced, well qualified staff. </w:t>
      </w:r>
      <w:r w:rsidR="00DD0BBF" w:rsidRPr="00436442">
        <w:rPr>
          <w:rFonts w:ascii="Arial" w:hAnsi="Arial" w:cs="Arial"/>
          <w:sz w:val="23"/>
          <w:szCs w:val="23"/>
        </w:rPr>
        <w:t xml:space="preserve"> </w:t>
      </w:r>
      <w:r w:rsidRPr="00436442">
        <w:rPr>
          <w:rFonts w:ascii="Arial" w:hAnsi="Arial" w:cs="Arial"/>
          <w:sz w:val="23"/>
          <w:szCs w:val="23"/>
        </w:rPr>
        <w:t>Tourism is a</w:t>
      </w:r>
      <w:r w:rsidR="00DD0BBF" w:rsidRPr="00436442">
        <w:rPr>
          <w:rFonts w:ascii="Arial" w:hAnsi="Arial" w:cs="Arial"/>
          <w:sz w:val="23"/>
          <w:szCs w:val="23"/>
        </w:rPr>
        <w:t>nother</w:t>
      </w:r>
      <w:r w:rsidRPr="00436442">
        <w:rPr>
          <w:rFonts w:ascii="Arial" w:hAnsi="Arial" w:cs="Arial"/>
          <w:sz w:val="23"/>
          <w:szCs w:val="23"/>
        </w:rPr>
        <w:t xml:space="preserve"> key sector in North Ayrshire and has a reliance on both domestic and foreign workforce. </w:t>
      </w:r>
      <w:r w:rsidR="00DD0BBF" w:rsidRPr="00436442">
        <w:rPr>
          <w:rFonts w:ascii="Arial" w:hAnsi="Arial" w:cs="Arial"/>
          <w:sz w:val="23"/>
          <w:szCs w:val="23"/>
        </w:rPr>
        <w:t xml:space="preserve"> </w:t>
      </w:r>
      <w:r w:rsidRPr="00436442">
        <w:rPr>
          <w:rFonts w:ascii="Arial" w:hAnsi="Arial" w:cs="Arial"/>
          <w:sz w:val="23"/>
          <w:szCs w:val="23"/>
        </w:rPr>
        <w:t xml:space="preserve">From ongoing discussions with businesses (especially on Arran) it is apparent that the number of non-UK EU Nationals applying for vacant positions is in decline and, in some circumstances, has almost ceased completely. </w:t>
      </w:r>
      <w:r w:rsidR="00315F4F" w:rsidRPr="00436442">
        <w:rPr>
          <w:rFonts w:ascii="Arial" w:hAnsi="Arial" w:cs="Arial"/>
          <w:sz w:val="23"/>
          <w:szCs w:val="23"/>
        </w:rPr>
        <w:t xml:space="preserve"> </w:t>
      </w:r>
      <w:r w:rsidRPr="00436442">
        <w:rPr>
          <w:rFonts w:ascii="Arial" w:hAnsi="Arial" w:cs="Arial"/>
          <w:sz w:val="23"/>
          <w:szCs w:val="23"/>
        </w:rPr>
        <w:t>This has an impact on the ambitions of local businesses to grow.</w:t>
      </w:r>
    </w:p>
    <w:p w14:paraId="5819D56A" w14:textId="77777777" w:rsidR="003A1078" w:rsidRPr="00436442" w:rsidRDefault="003A1078" w:rsidP="003A1078">
      <w:pPr>
        <w:pStyle w:val="NormalWeb"/>
        <w:spacing w:before="0" w:beforeAutospacing="0" w:after="0" w:afterAutospacing="0"/>
        <w:ind w:left="360"/>
        <w:rPr>
          <w:rFonts w:ascii="Arial" w:hAnsi="Arial" w:cs="Arial"/>
          <w:sz w:val="23"/>
          <w:szCs w:val="23"/>
        </w:rPr>
      </w:pPr>
    </w:p>
    <w:p w14:paraId="0032ECDF" w14:textId="115FDF58" w:rsidR="00E17AE6" w:rsidRPr="00436442" w:rsidRDefault="00AB500D" w:rsidP="00E17AE6">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 xml:space="preserve">At a city level, Glasgow City Council believes that the proposed salary threshold will be challenging for a wide range of employers in the city.  The Annual Business Survey for 2017 reveals that out of 304,200 jobs in the city, 77% earned less than an average of £30,000.  The average earnings were based on the </w:t>
      </w:r>
      <w:r w:rsidR="00455486" w:rsidRPr="00436442">
        <w:rPr>
          <w:rFonts w:ascii="Arial" w:hAnsi="Arial" w:cs="Arial"/>
          <w:sz w:val="23"/>
          <w:szCs w:val="23"/>
        </w:rPr>
        <w:t>m</w:t>
      </w:r>
      <w:r w:rsidRPr="00436442">
        <w:rPr>
          <w:rFonts w:ascii="Arial" w:hAnsi="Arial" w:cs="Arial"/>
          <w:sz w:val="23"/>
          <w:szCs w:val="23"/>
        </w:rPr>
        <w:t>ean earnings and therefore earnings would be lower if based on the preferred median.  Sectors w</w:t>
      </w:r>
      <w:r w:rsidR="007446AC" w:rsidRPr="00436442">
        <w:rPr>
          <w:rFonts w:ascii="Arial" w:hAnsi="Arial" w:cs="Arial"/>
          <w:sz w:val="23"/>
          <w:szCs w:val="23"/>
        </w:rPr>
        <w:t>h</w:t>
      </w:r>
      <w:r w:rsidRPr="00436442">
        <w:rPr>
          <w:rFonts w:ascii="Arial" w:hAnsi="Arial" w:cs="Arial"/>
          <w:sz w:val="23"/>
          <w:szCs w:val="23"/>
        </w:rPr>
        <w:t xml:space="preserve">ere average mean salaries are below the proposed threshold include construction, manufacturing, hospitality, transport, admin and support, arts and entertainment and caring and personal service occupations.  All of </w:t>
      </w:r>
      <w:r w:rsidR="004C5CF9" w:rsidRPr="00436442">
        <w:rPr>
          <w:rFonts w:ascii="Arial" w:hAnsi="Arial" w:cs="Arial"/>
          <w:sz w:val="23"/>
          <w:szCs w:val="23"/>
        </w:rPr>
        <w:t>these</w:t>
      </w:r>
      <w:r w:rsidRPr="00436442">
        <w:rPr>
          <w:rFonts w:ascii="Arial" w:hAnsi="Arial" w:cs="Arial"/>
          <w:sz w:val="23"/>
          <w:szCs w:val="23"/>
        </w:rPr>
        <w:t xml:space="preserve"> are vital to economic and social wellbeing in the city.</w:t>
      </w:r>
    </w:p>
    <w:p w14:paraId="20214A24" w14:textId="77777777" w:rsidR="00E17AE6" w:rsidRPr="00436442" w:rsidRDefault="00E17AE6" w:rsidP="00E17AE6">
      <w:pPr>
        <w:pStyle w:val="NormalWeb"/>
        <w:spacing w:before="0" w:beforeAutospacing="0" w:after="0" w:afterAutospacing="0"/>
        <w:ind w:left="357"/>
        <w:rPr>
          <w:rFonts w:ascii="Arial" w:hAnsi="Arial" w:cs="Arial"/>
          <w:sz w:val="23"/>
          <w:szCs w:val="23"/>
        </w:rPr>
      </w:pPr>
    </w:p>
    <w:p w14:paraId="65EE154D" w14:textId="09428ECA" w:rsidR="00CD5BAD" w:rsidRPr="00436442" w:rsidRDefault="00A522A3" w:rsidP="00CD5BAD">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 xml:space="preserve">Many of our rural member authorities emphasised that a </w:t>
      </w:r>
      <w:r w:rsidR="008A36F6" w:rsidRPr="00436442">
        <w:rPr>
          <w:rFonts w:ascii="Arial" w:hAnsi="Arial" w:cs="Arial"/>
          <w:sz w:val="23"/>
          <w:szCs w:val="23"/>
        </w:rPr>
        <w:t xml:space="preserve">salary threshold of £30,000 would have a serious negative impact on the ability of rural Scotland to attract new entrants to the local labour market from outside of the UK. </w:t>
      </w:r>
      <w:r w:rsidR="00A13A87" w:rsidRPr="00436442">
        <w:rPr>
          <w:rFonts w:ascii="Arial" w:hAnsi="Arial" w:cs="Arial"/>
          <w:sz w:val="23"/>
          <w:szCs w:val="23"/>
        </w:rPr>
        <w:t xml:space="preserve"> </w:t>
      </w:r>
      <w:r w:rsidR="008A36F6" w:rsidRPr="00436442">
        <w:rPr>
          <w:rFonts w:ascii="Arial" w:hAnsi="Arial" w:cs="Arial"/>
          <w:sz w:val="23"/>
          <w:szCs w:val="23"/>
        </w:rPr>
        <w:t>A large proportion of jobs in rural Scotland earn below the proposed salary threshold</w:t>
      </w:r>
      <w:r w:rsidR="00A13A87" w:rsidRPr="00436442">
        <w:rPr>
          <w:rFonts w:ascii="Arial" w:hAnsi="Arial" w:cs="Arial"/>
          <w:sz w:val="23"/>
          <w:szCs w:val="23"/>
        </w:rPr>
        <w:t xml:space="preserve"> – </w:t>
      </w:r>
      <w:r w:rsidR="008A36F6" w:rsidRPr="00436442">
        <w:rPr>
          <w:rFonts w:ascii="Arial" w:hAnsi="Arial" w:cs="Arial"/>
          <w:sz w:val="23"/>
          <w:szCs w:val="23"/>
        </w:rPr>
        <w:t>overall, 63% of workers in Scotland earn less than the proposed £30,000 salary threshold, and this figure is higher in some rural areas.</w:t>
      </w:r>
      <w:r w:rsidRPr="00436442">
        <w:rPr>
          <w:rFonts w:ascii="Arial" w:hAnsi="Arial" w:cs="Arial"/>
          <w:sz w:val="23"/>
          <w:szCs w:val="23"/>
        </w:rPr>
        <w:t xml:space="preserve">  </w:t>
      </w:r>
      <w:r w:rsidR="008A36F6" w:rsidRPr="00436442">
        <w:rPr>
          <w:rFonts w:ascii="Arial" w:hAnsi="Arial" w:cs="Arial"/>
          <w:sz w:val="23"/>
          <w:szCs w:val="23"/>
        </w:rPr>
        <w:t>This would have a particular impact on economically important sectors such as social care, hospitality, construction, processing, aquaculture and transport, where entry level salaries are often substantially below the £30,000 cap.</w:t>
      </w:r>
      <w:r w:rsidRPr="00436442">
        <w:rPr>
          <w:rFonts w:ascii="Arial" w:hAnsi="Arial" w:cs="Arial"/>
          <w:sz w:val="23"/>
          <w:szCs w:val="23"/>
        </w:rPr>
        <w:t xml:space="preserve">  </w:t>
      </w:r>
      <w:r w:rsidR="008A36F6" w:rsidRPr="00436442">
        <w:rPr>
          <w:rFonts w:ascii="Arial" w:hAnsi="Arial" w:cs="Arial"/>
          <w:sz w:val="23"/>
          <w:szCs w:val="23"/>
        </w:rPr>
        <w:t>It would also affect the ability of rural areas to attract young people, as those with an earning power of £30,000+ tend to be in older age ranges.</w:t>
      </w:r>
    </w:p>
    <w:p w14:paraId="44397E8A" w14:textId="77777777" w:rsidR="00CD5BAD" w:rsidRPr="00436442" w:rsidRDefault="00CD5BAD" w:rsidP="00CD5BAD">
      <w:pPr>
        <w:pStyle w:val="NormalWeb"/>
        <w:spacing w:before="0" w:beforeAutospacing="0" w:after="0" w:afterAutospacing="0"/>
        <w:ind w:left="360"/>
        <w:rPr>
          <w:rFonts w:ascii="Arial" w:hAnsi="Arial" w:cs="Arial"/>
          <w:sz w:val="23"/>
          <w:szCs w:val="23"/>
        </w:rPr>
      </w:pPr>
    </w:p>
    <w:p w14:paraId="125A2773" w14:textId="7D5A8F70" w:rsidR="00D95DDB" w:rsidRPr="00436442" w:rsidRDefault="00EE21C0" w:rsidP="00D95DDB">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 xml:space="preserve">The Highland economy is dependent on a number of business sectors including the Tourism &amp; Hospitality and Food &amp; Drink sectors which are traditionally lower wage sectors and ones that rely heavily on migrant workers to fill vacancies. </w:t>
      </w:r>
      <w:r w:rsidR="00D95DDB" w:rsidRPr="00436442">
        <w:rPr>
          <w:rFonts w:ascii="Arial" w:hAnsi="Arial" w:cs="Arial"/>
          <w:sz w:val="23"/>
          <w:szCs w:val="23"/>
        </w:rPr>
        <w:t xml:space="preserve"> </w:t>
      </w:r>
      <w:r w:rsidRPr="00436442">
        <w:rPr>
          <w:rFonts w:ascii="Arial" w:hAnsi="Arial" w:cs="Arial"/>
          <w:sz w:val="23"/>
          <w:szCs w:val="23"/>
        </w:rPr>
        <w:t xml:space="preserve">The </w:t>
      </w:r>
      <w:r w:rsidR="00EA5D0C" w:rsidRPr="00436442">
        <w:rPr>
          <w:rFonts w:ascii="Arial" w:hAnsi="Arial" w:cs="Arial"/>
          <w:sz w:val="23"/>
          <w:szCs w:val="23"/>
        </w:rPr>
        <w:t>c</w:t>
      </w:r>
      <w:r w:rsidRPr="00436442">
        <w:rPr>
          <w:rFonts w:ascii="Arial" w:hAnsi="Arial" w:cs="Arial"/>
          <w:sz w:val="23"/>
          <w:szCs w:val="23"/>
        </w:rPr>
        <w:t xml:space="preserve">ouncil has previously contributed information on these and other sectors which has been incorporated in the Scottish Government’s earlier submission to the MAC on the </w:t>
      </w:r>
      <w:r w:rsidR="00D95DDB" w:rsidRPr="00436442">
        <w:rPr>
          <w:rFonts w:ascii="Arial" w:hAnsi="Arial" w:cs="Arial"/>
          <w:sz w:val="23"/>
          <w:szCs w:val="23"/>
        </w:rPr>
        <w:t>S</w:t>
      </w:r>
      <w:r w:rsidRPr="00436442">
        <w:rPr>
          <w:rFonts w:ascii="Arial" w:hAnsi="Arial" w:cs="Arial"/>
          <w:sz w:val="23"/>
          <w:szCs w:val="23"/>
        </w:rPr>
        <w:t xml:space="preserve">hortage </w:t>
      </w:r>
      <w:r w:rsidR="00D95DDB" w:rsidRPr="00436442">
        <w:rPr>
          <w:rFonts w:ascii="Arial" w:hAnsi="Arial" w:cs="Arial"/>
          <w:sz w:val="23"/>
          <w:szCs w:val="23"/>
        </w:rPr>
        <w:t>O</w:t>
      </w:r>
      <w:r w:rsidRPr="00436442">
        <w:rPr>
          <w:rFonts w:ascii="Arial" w:hAnsi="Arial" w:cs="Arial"/>
          <w:sz w:val="23"/>
          <w:szCs w:val="23"/>
        </w:rPr>
        <w:t xml:space="preserve">ccupation </w:t>
      </w:r>
      <w:r w:rsidR="00D95DDB" w:rsidRPr="00436442">
        <w:rPr>
          <w:rFonts w:ascii="Arial" w:hAnsi="Arial" w:cs="Arial"/>
          <w:sz w:val="23"/>
          <w:szCs w:val="23"/>
        </w:rPr>
        <w:t>L</w:t>
      </w:r>
      <w:r w:rsidRPr="00436442">
        <w:rPr>
          <w:rFonts w:ascii="Arial" w:hAnsi="Arial" w:cs="Arial"/>
          <w:sz w:val="23"/>
          <w:szCs w:val="23"/>
        </w:rPr>
        <w:t>ist</w:t>
      </w:r>
      <w:r w:rsidR="00EA5D0C" w:rsidRPr="00436442">
        <w:rPr>
          <w:rFonts w:ascii="Arial" w:hAnsi="Arial" w:cs="Arial"/>
          <w:sz w:val="23"/>
          <w:szCs w:val="23"/>
        </w:rPr>
        <w:t>.</w:t>
      </w:r>
    </w:p>
    <w:p w14:paraId="66AF0FF8" w14:textId="77777777" w:rsidR="00D95DDB" w:rsidRPr="00436442" w:rsidRDefault="00D95DDB" w:rsidP="00D95DDB">
      <w:pPr>
        <w:pStyle w:val="NormalWeb"/>
        <w:spacing w:before="0" w:beforeAutospacing="0" w:after="0" w:afterAutospacing="0"/>
        <w:ind w:left="357"/>
        <w:rPr>
          <w:rFonts w:ascii="Arial" w:hAnsi="Arial" w:cs="Arial"/>
          <w:sz w:val="23"/>
          <w:szCs w:val="23"/>
        </w:rPr>
      </w:pPr>
    </w:p>
    <w:p w14:paraId="74512B4B" w14:textId="3C7A258C" w:rsidR="00F403D6" w:rsidRPr="00436442" w:rsidRDefault="00F403D6" w:rsidP="00D95DDB">
      <w:pPr>
        <w:pStyle w:val="NormalWeb"/>
        <w:numPr>
          <w:ilvl w:val="0"/>
          <w:numId w:val="2"/>
        </w:numPr>
        <w:spacing w:before="0" w:beforeAutospacing="0" w:after="0" w:afterAutospacing="0"/>
        <w:ind w:left="357" w:hanging="357"/>
        <w:rPr>
          <w:rFonts w:ascii="Arial" w:hAnsi="Arial" w:cs="Arial"/>
          <w:sz w:val="23"/>
          <w:szCs w:val="23"/>
        </w:rPr>
      </w:pPr>
      <w:r w:rsidRPr="00436442">
        <w:rPr>
          <w:rFonts w:ascii="Arial" w:hAnsi="Arial" w:cs="Arial"/>
          <w:sz w:val="23"/>
          <w:szCs w:val="23"/>
        </w:rPr>
        <w:t>South Ayrshire</w:t>
      </w:r>
      <w:r w:rsidR="00D95DDB" w:rsidRPr="00436442">
        <w:rPr>
          <w:rFonts w:ascii="Arial" w:hAnsi="Arial" w:cs="Arial"/>
          <w:sz w:val="23"/>
          <w:szCs w:val="23"/>
        </w:rPr>
        <w:t xml:space="preserve"> Council</w:t>
      </w:r>
      <w:r w:rsidRPr="00436442">
        <w:rPr>
          <w:rFonts w:ascii="Arial" w:hAnsi="Arial" w:cs="Arial"/>
          <w:sz w:val="23"/>
          <w:szCs w:val="23"/>
        </w:rPr>
        <w:t xml:space="preserve"> emphasise</w:t>
      </w:r>
      <w:r w:rsidR="00D95DDB" w:rsidRPr="00436442">
        <w:rPr>
          <w:rFonts w:ascii="Arial" w:hAnsi="Arial" w:cs="Arial"/>
          <w:sz w:val="23"/>
          <w:szCs w:val="23"/>
        </w:rPr>
        <w:t>d</w:t>
      </w:r>
      <w:r w:rsidRPr="00436442">
        <w:rPr>
          <w:rFonts w:ascii="Arial" w:hAnsi="Arial" w:cs="Arial"/>
          <w:sz w:val="23"/>
          <w:szCs w:val="23"/>
        </w:rPr>
        <w:t xml:space="preserve"> the importan</w:t>
      </w:r>
      <w:r w:rsidR="0093357D" w:rsidRPr="00436442">
        <w:rPr>
          <w:rFonts w:ascii="Arial" w:hAnsi="Arial" w:cs="Arial"/>
          <w:sz w:val="23"/>
          <w:szCs w:val="23"/>
        </w:rPr>
        <w:t>ce of low and high skilled to grow their economy.  T</w:t>
      </w:r>
      <w:r w:rsidRPr="00436442">
        <w:rPr>
          <w:rFonts w:ascii="Arial" w:hAnsi="Arial" w:cs="Arial"/>
          <w:sz w:val="23"/>
          <w:szCs w:val="23"/>
        </w:rPr>
        <w:t>he Ayrshire Growth Deal</w:t>
      </w:r>
      <w:r w:rsidR="00D95DDB" w:rsidRPr="00436442">
        <w:rPr>
          <w:rFonts w:ascii="Arial" w:hAnsi="Arial" w:cs="Arial"/>
          <w:sz w:val="23"/>
          <w:szCs w:val="23"/>
        </w:rPr>
        <w:t xml:space="preserve"> (AGD)</w:t>
      </w:r>
      <w:r w:rsidRPr="00436442">
        <w:rPr>
          <w:rFonts w:ascii="Arial" w:hAnsi="Arial" w:cs="Arial"/>
          <w:sz w:val="23"/>
          <w:szCs w:val="23"/>
        </w:rPr>
        <w:t xml:space="preserve"> is expected to generate 4000 new jobs in South Ayrshire. </w:t>
      </w:r>
      <w:r w:rsidR="00D95DDB" w:rsidRPr="00436442">
        <w:rPr>
          <w:rFonts w:ascii="Arial" w:hAnsi="Arial" w:cs="Arial"/>
          <w:sz w:val="23"/>
          <w:szCs w:val="23"/>
        </w:rPr>
        <w:t xml:space="preserve"> </w:t>
      </w:r>
      <w:r w:rsidRPr="00436442">
        <w:rPr>
          <w:rFonts w:ascii="Arial" w:hAnsi="Arial" w:cs="Arial"/>
          <w:sz w:val="23"/>
          <w:szCs w:val="23"/>
        </w:rPr>
        <w:t xml:space="preserve">Whilst the objective is to provide these jobs for local people, </w:t>
      </w:r>
      <w:r w:rsidR="00D95DDB" w:rsidRPr="00436442">
        <w:rPr>
          <w:rFonts w:ascii="Arial" w:hAnsi="Arial" w:cs="Arial"/>
          <w:sz w:val="23"/>
          <w:szCs w:val="23"/>
        </w:rPr>
        <w:t>the</w:t>
      </w:r>
      <w:r w:rsidRPr="00436442">
        <w:rPr>
          <w:rFonts w:ascii="Arial" w:hAnsi="Arial" w:cs="Arial"/>
          <w:sz w:val="23"/>
          <w:szCs w:val="23"/>
        </w:rPr>
        <w:t xml:space="preserve"> labour market will not be able to fulfil demand. </w:t>
      </w:r>
      <w:r w:rsidR="00D95DDB" w:rsidRPr="00436442">
        <w:rPr>
          <w:rFonts w:ascii="Arial" w:hAnsi="Arial" w:cs="Arial"/>
          <w:sz w:val="23"/>
          <w:szCs w:val="23"/>
        </w:rPr>
        <w:t xml:space="preserve"> </w:t>
      </w:r>
      <w:r w:rsidRPr="00436442">
        <w:rPr>
          <w:rFonts w:ascii="Arial" w:hAnsi="Arial" w:cs="Arial"/>
          <w:sz w:val="23"/>
          <w:szCs w:val="23"/>
        </w:rPr>
        <w:t>The majority of the jobs created by the AGD will be high level jobs and therefore not be affected by a salary cap.</w:t>
      </w:r>
      <w:r w:rsidR="00345A8F" w:rsidRPr="00436442">
        <w:rPr>
          <w:rFonts w:ascii="Arial" w:hAnsi="Arial" w:cs="Arial"/>
          <w:sz w:val="23"/>
          <w:szCs w:val="23"/>
        </w:rPr>
        <w:t xml:space="preserve">  </w:t>
      </w:r>
      <w:r w:rsidR="0093357D" w:rsidRPr="00436442">
        <w:rPr>
          <w:rFonts w:ascii="Arial" w:hAnsi="Arial" w:cs="Arial"/>
          <w:sz w:val="23"/>
          <w:szCs w:val="23"/>
        </w:rPr>
        <w:t xml:space="preserve">South Ayrshire’s </w:t>
      </w:r>
      <w:r w:rsidRPr="00436442">
        <w:rPr>
          <w:rFonts w:ascii="Arial" w:hAnsi="Arial" w:cs="Arial"/>
          <w:sz w:val="23"/>
          <w:szCs w:val="23"/>
        </w:rPr>
        <w:t xml:space="preserve">economy also requires a large number of low skilled and/or lower paid workers. </w:t>
      </w:r>
      <w:r w:rsidR="009B3CB9" w:rsidRPr="00436442">
        <w:rPr>
          <w:rFonts w:ascii="Arial" w:hAnsi="Arial" w:cs="Arial"/>
          <w:sz w:val="23"/>
          <w:szCs w:val="23"/>
        </w:rPr>
        <w:t xml:space="preserve"> </w:t>
      </w:r>
      <w:r w:rsidRPr="00436442">
        <w:rPr>
          <w:rFonts w:ascii="Arial" w:hAnsi="Arial" w:cs="Arial"/>
          <w:sz w:val="23"/>
          <w:szCs w:val="23"/>
        </w:rPr>
        <w:t xml:space="preserve">This is particularly the case for the visitor economy, the blue economy and health/care sectors. </w:t>
      </w:r>
      <w:r w:rsidR="009B3CB9" w:rsidRPr="00436442">
        <w:rPr>
          <w:rFonts w:ascii="Arial" w:hAnsi="Arial" w:cs="Arial"/>
          <w:sz w:val="23"/>
          <w:szCs w:val="23"/>
        </w:rPr>
        <w:t xml:space="preserve"> </w:t>
      </w:r>
      <w:r w:rsidRPr="00436442">
        <w:rPr>
          <w:rFonts w:ascii="Arial" w:hAnsi="Arial" w:cs="Arial"/>
          <w:sz w:val="23"/>
          <w:szCs w:val="23"/>
        </w:rPr>
        <w:t>A salary cap within the immigration system would sever</w:t>
      </w:r>
      <w:r w:rsidR="0093357D" w:rsidRPr="00436442">
        <w:rPr>
          <w:rFonts w:ascii="Arial" w:hAnsi="Arial" w:cs="Arial"/>
          <w:sz w:val="23"/>
          <w:szCs w:val="23"/>
        </w:rPr>
        <w:t>ely</w:t>
      </w:r>
      <w:r w:rsidRPr="00436442">
        <w:rPr>
          <w:rFonts w:ascii="Arial" w:hAnsi="Arial" w:cs="Arial"/>
          <w:sz w:val="23"/>
          <w:szCs w:val="23"/>
        </w:rPr>
        <w:t xml:space="preserve"> hamper recruiting into these positions.</w:t>
      </w:r>
    </w:p>
    <w:p w14:paraId="34FF44F3" w14:textId="77777777" w:rsidR="009B3CB9" w:rsidRPr="00436442" w:rsidRDefault="009B3CB9" w:rsidP="009B3CB9">
      <w:pPr>
        <w:pStyle w:val="NormalWeb"/>
        <w:spacing w:before="0" w:beforeAutospacing="0" w:after="0" w:afterAutospacing="0"/>
        <w:rPr>
          <w:rFonts w:ascii="Arial" w:hAnsi="Arial" w:cs="Arial"/>
          <w:sz w:val="23"/>
          <w:szCs w:val="23"/>
        </w:rPr>
      </w:pPr>
    </w:p>
    <w:p w14:paraId="3CA4A350" w14:textId="4ADFCA76" w:rsidR="00EA5D0C" w:rsidRPr="00436442" w:rsidRDefault="00EA5D0C" w:rsidP="00A936E9">
      <w:pPr>
        <w:keepNext/>
        <w:rPr>
          <w:rFonts w:ascii="Arial" w:hAnsi="Arial" w:cs="Arial"/>
          <w:b/>
          <w:bCs/>
          <w:sz w:val="23"/>
          <w:szCs w:val="23"/>
        </w:rPr>
      </w:pPr>
      <w:r w:rsidRPr="00436442">
        <w:rPr>
          <w:rFonts w:ascii="Arial" w:hAnsi="Arial" w:cs="Arial"/>
          <w:b/>
          <w:bCs/>
          <w:sz w:val="23"/>
          <w:szCs w:val="23"/>
        </w:rPr>
        <w:lastRenderedPageBreak/>
        <w:t>Tailored salary threshold</w:t>
      </w:r>
    </w:p>
    <w:p w14:paraId="628000F5" w14:textId="77777777" w:rsidR="002C1A1C" w:rsidRPr="00436442" w:rsidRDefault="002C1A1C" w:rsidP="00A936E9">
      <w:pPr>
        <w:pStyle w:val="NormalWeb"/>
        <w:keepNext/>
        <w:spacing w:before="0" w:beforeAutospacing="0" w:after="0" w:afterAutospacing="0"/>
        <w:ind w:left="360"/>
        <w:rPr>
          <w:rFonts w:ascii="Arial" w:hAnsi="Arial" w:cs="Arial"/>
          <w:sz w:val="23"/>
          <w:szCs w:val="23"/>
        </w:rPr>
      </w:pPr>
    </w:p>
    <w:p w14:paraId="6059D1D4" w14:textId="55D09BA4" w:rsidR="00EA5D0C" w:rsidRPr="00436442" w:rsidRDefault="00476084" w:rsidP="00A936E9">
      <w:pPr>
        <w:pStyle w:val="NormalWeb"/>
        <w:keepNext/>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We asked </w:t>
      </w:r>
      <w:r w:rsidR="003861E9" w:rsidRPr="00436442">
        <w:rPr>
          <w:rFonts w:ascii="Arial" w:hAnsi="Arial" w:cs="Arial"/>
          <w:sz w:val="23"/>
          <w:szCs w:val="23"/>
        </w:rPr>
        <w:t xml:space="preserve">member </w:t>
      </w:r>
      <w:r w:rsidRPr="00436442">
        <w:rPr>
          <w:rFonts w:ascii="Arial" w:hAnsi="Arial" w:cs="Arial"/>
          <w:sz w:val="23"/>
          <w:szCs w:val="23"/>
        </w:rPr>
        <w:t xml:space="preserve">councils </w:t>
      </w:r>
      <w:r w:rsidR="002C1A1C" w:rsidRPr="00436442">
        <w:rPr>
          <w:rFonts w:ascii="Arial" w:hAnsi="Arial" w:cs="Arial"/>
          <w:sz w:val="23"/>
          <w:szCs w:val="23"/>
        </w:rPr>
        <w:t xml:space="preserve">if there </w:t>
      </w:r>
      <w:r w:rsidRPr="00436442">
        <w:rPr>
          <w:rFonts w:ascii="Arial" w:hAnsi="Arial" w:cs="Arial"/>
          <w:sz w:val="23"/>
          <w:szCs w:val="23"/>
        </w:rPr>
        <w:t>should be a tailored salary threshold to reflect employers</w:t>
      </w:r>
      <w:r w:rsidR="003861E9" w:rsidRPr="00436442">
        <w:rPr>
          <w:rFonts w:ascii="Arial" w:hAnsi="Arial" w:cs="Arial"/>
          <w:sz w:val="23"/>
          <w:szCs w:val="23"/>
        </w:rPr>
        <w:t>’</w:t>
      </w:r>
      <w:r w:rsidRPr="00436442">
        <w:rPr>
          <w:rFonts w:ascii="Arial" w:hAnsi="Arial" w:cs="Arial"/>
          <w:sz w:val="23"/>
          <w:szCs w:val="23"/>
        </w:rPr>
        <w:t xml:space="preserve"> needs, sectors, regional variations, high public value and not high wages, new entrants/young workers, part-time workers, </w:t>
      </w:r>
      <w:r w:rsidR="00891255" w:rsidRPr="00436442">
        <w:rPr>
          <w:rFonts w:ascii="Arial" w:hAnsi="Arial" w:cs="Arial"/>
          <w:sz w:val="23"/>
          <w:szCs w:val="23"/>
        </w:rPr>
        <w:t xml:space="preserve">and </w:t>
      </w:r>
      <w:r w:rsidRPr="00436442">
        <w:rPr>
          <w:rFonts w:ascii="Arial" w:hAnsi="Arial" w:cs="Arial"/>
          <w:sz w:val="23"/>
          <w:szCs w:val="23"/>
        </w:rPr>
        <w:t xml:space="preserve">occupations. </w:t>
      </w:r>
      <w:r w:rsidR="00EA5D0C" w:rsidRPr="00436442">
        <w:rPr>
          <w:rFonts w:ascii="Arial" w:hAnsi="Arial" w:cs="Arial"/>
          <w:sz w:val="23"/>
          <w:szCs w:val="23"/>
        </w:rPr>
        <w:t xml:space="preserve"> As stated above, the majority of responses received stated that there should be no minimum salary, other</w:t>
      </w:r>
      <w:r w:rsidR="003861E9" w:rsidRPr="00436442">
        <w:rPr>
          <w:rFonts w:ascii="Arial" w:hAnsi="Arial" w:cs="Arial"/>
          <w:sz w:val="23"/>
          <w:szCs w:val="23"/>
        </w:rPr>
        <w:t xml:space="preserve"> </w:t>
      </w:r>
      <w:r w:rsidR="00EA5D0C" w:rsidRPr="00436442">
        <w:rPr>
          <w:rFonts w:ascii="Arial" w:hAnsi="Arial" w:cs="Arial"/>
          <w:sz w:val="23"/>
          <w:szCs w:val="23"/>
        </w:rPr>
        <w:t xml:space="preserve">than the Scottish Local Government Living Wage. </w:t>
      </w:r>
      <w:r w:rsidR="00891255" w:rsidRPr="00436442">
        <w:rPr>
          <w:rFonts w:ascii="Arial" w:hAnsi="Arial" w:cs="Arial"/>
          <w:sz w:val="23"/>
          <w:szCs w:val="23"/>
        </w:rPr>
        <w:t xml:space="preserve"> </w:t>
      </w:r>
      <w:r w:rsidR="00D759C7" w:rsidRPr="00436442">
        <w:rPr>
          <w:rFonts w:ascii="Arial" w:hAnsi="Arial" w:cs="Arial"/>
          <w:sz w:val="23"/>
          <w:szCs w:val="23"/>
        </w:rPr>
        <w:t>However, councils</w:t>
      </w:r>
      <w:r w:rsidR="00993D64" w:rsidRPr="00436442">
        <w:rPr>
          <w:rFonts w:ascii="Arial" w:hAnsi="Arial" w:cs="Arial"/>
          <w:sz w:val="23"/>
          <w:szCs w:val="23"/>
        </w:rPr>
        <w:t xml:space="preserve"> did</w:t>
      </w:r>
      <w:r w:rsidR="00D759C7" w:rsidRPr="00436442">
        <w:rPr>
          <w:rFonts w:ascii="Arial" w:hAnsi="Arial" w:cs="Arial"/>
          <w:sz w:val="23"/>
          <w:szCs w:val="23"/>
        </w:rPr>
        <w:t xml:space="preserve"> </w:t>
      </w:r>
      <w:r w:rsidR="006C79D8" w:rsidRPr="00436442">
        <w:rPr>
          <w:rFonts w:ascii="Arial" w:hAnsi="Arial" w:cs="Arial"/>
          <w:sz w:val="23"/>
          <w:szCs w:val="23"/>
        </w:rPr>
        <w:t>make</w:t>
      </w:r>
      <w:r w:rsidR="00D759C7" w:rsidRPr="00436442">
        <w:rPr>
          <w:rFonts w:ascii="Arial" w:hAnsi="Arial" w:cs="Arial"/>
          <w:sz w:val="23"/>
          <w:szCs w:val="23"/>
        </w:rPr>
        <w:t xml:space="preserve"> some other suggestions if salary thresholds are used</w:t>
      </w:r>
      <w:r w:rsidR="006C79D8" w:rsidRPr="00436442">
        <w:rPr>
          <w:rFonts w:ascii="Arial" w:hAnsi="Arial" w:cs="Arial"/>
          <w:sz w:val="23"/>
          <w:szCs w:val="23"/>
        </w:rPr>
        <w:t>.</w:t>
      </w:r>
    </w:p>
    <w:p w14:paraId="3EEFB8F9" w14:textId="77777777" w:rsidR="006C79D8" w:rsidRPr="00436442" w:rsidRDefault="006C79D8" w:rsidP="006C79D8">
      <w:pPr>
        <w:pStyle w:val="NormalWeb"/>
        <w:spacing w:before="0" w:beforeAutospacing="0" w:after="0" w:afterAutospacing="0"/>
        <w:ind w:left="357"/>
        <w:rPr>
          <w:rFonts w:ascii="Arial" w:hAnsi="Arial" w:cs="Arial"/>
          <w:sz w:val="23"/>
          <w:szCs w:val="23"/>
        </w:rPr>
      </w:pPr>
    </w:p>
    <w:p w14:paraId="39425868" w14:textId="572D7CFB" w:rsidR="00F839ED" w:rsidRPr="00436442" w:rsidRDefault="00D759C7" w:rsidP="006C79D8">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Overall, the key ask from councils was flexibility built in to the immigration system that can take account of</w:t>
      </w:r>
      <w:r w:rsidR="008673CB" w:rsidRPr="00436442">
        <w:rPr>
          <w:rFonts w:ascii="Arial" w:hAnsi="Arial" w:cs="Arial"/>
          <w:sz w:val="23"/>
          <w:szCs w:val="23"/>
        </w:rPr>
        <w:t xml:space="preserve"> </w:t>
      </w:r>
      <w:r w:rsidRPr="00436442">
        <w:rPr>
          <w:rFonts w:ascii="Arial" w:hAnsi="Arial" w:cs="Arial"/>
          <w:sz w:val="23"/>
          <w:szCs w:val="23"/>
        </w:rPr>
        <w:t xml:space="preserve">economic diversity </w:t>
      </w:r>
      <w:r w:rsidR="00F839ED" w:rsidRPr="00436442">
        <w:rPr>
          <w:rFonts w:ascii="Arial" w:hAnsi="Arial" w:cs="Arial"/>
          <w:sz w:val="23"/>
          <w:szCs w:val="23"/>
        </w:rPr>
        <w:t xml:space="preserve">and recognises </w:t>
      </w:r>
      <w:r w:rsidR="008673CB" w:rsidRPr="00436442">
        <w:rPr>
          <w:rFonts w:ascii="Arial" w:hAnsi="Arial" w:cs="Arial"/>
          <w:sz w:val="23"/>
          <w:szCs w:val="23"/>
        </w:rPr>
        <w:t xml:space="preserve">the </w:t>
      </w:r>
      <w:r w:rsidR="00F839ED" w:rsidRPr="00436442">
        <w:rPr>
          <w:rFonts w:ascii="Arial" w:hAnsi="Arial" w:cs="Arial"/>
          <w:sz w:val="23"/>
          <w:szCs w:val="23"/>
        </w:rPr>
        <w:t xml:space="preserve">demographic challenges </w:t>
      </w:r>
      <w:r w:rsidRPr="00436442">
        <w:rPr>
          <w:rFonts w:ascii="Arial" w:hAnsi="Arial" w:cs="Arial"/>
          <w:sz w:val="23"/>
          <w:szCs w:val="23"/>
        </w:rPr>
        <w:t>within Scotland</w:t>
      </w:r>
      <w:r w:rsidR="00F839ED" w:rsidRPr="00436442">
        <w:rPr>
          <w:rFonts w:ascii="Arial" w:hAnsi="Arial" w:cs="Arial"/>
          <w:sz w:val="23"/>
          <w:szCs w:val="23"/>
        </w:rPr>
        <w:t>, and</w:t>
      </w:r>
      <w:r w:rsidR="00385BDE" w:rsidRPr="00436442">
        <w:rPr>
          <w:rFonts w:ascii="Arial" w:hAnsi="Arial" w:cs="Arial"/>
          <w:sz w:val="23"/>
          <w:szCs w:val="23"/>
        </w:rPr>
        <w:t>, indeed, in</w:t>
      </w:r>
      <w:r w:rsidR="00F839ED" w:rsidRPr="00436442">
        <w:rPr>
          <w:rFonts w:ascii="Arial" w:hAnsi="Arial" w:cs="Arial"/>
          <w:sz w:val="23"/>
          <w:szCs w:val="23"/>
        </w:rPr>
        <w:t xml:space="preserve"> other parts of the UK</w:t>
      </w:r>
      <w:r w:rsidRPr="00436442">
        <w:rPr>
          <w:rFonts w:ascii="Arial" w:hAnsi="Arial" w:cs="Arial"/>
          <w:sz w:val="23"/>
          <w:szCs w:val="23"/>
        </w:rPr>
        <w:t xml:space="preserve">.  </w:t>
      </w:r>
      <w:r w:rsidR="00A76C04" w:rsidRPr="00436442">
        <w:rPr>
          <w:rFonts w:ascii="Arial" w:hAnsi="Arial" w:cs="Arial"/>
          <w:sz w:val="23"/>
          <w:szCs w:val="23"/>
        </w:rPr>
        <w:t>The</w:t>
      </w:r>
      <w:r w:rsidRPr="00436442">
        <w:rPr>
          <w:rFonts w:ascii="Arial" w:hAnsi="Arial" w:cs="Arial"/>
          <w:sz w:val="23"/>
          <w:szCs w:val="23"/>
        </w:rPr>
        <w:t xml:space="preserve"> immigration system </w:t>
      </w:r>
      <w:r w:rsidR="00A76C04" w:rsidRPr="00436442">
        <w:rPr>
          <w:rFonts w:ascii="Arial" w:hAnsi="Arial" w:cs="Arial"/>
          <w:sz w:val="23"/>
          <w:szCs w:val="23"/>
        </w:rPr>
        <w:t>should</w:t>
      </w:r>
      <w:r w:rsidRPr="00436442">
        <w:rPr>
          <w:rFonts w:ascii="Arial" w:hAnsi="Arial" w:cs="Arial"/>
          <w:sz w:val="23"/>
          <w:szCs w:val="23"/>
        </w:rPr>
        <w:t xml:space="preserve"> be responsive to national and regional requirements, and</w:t>
      </w:r>
      <w:r w:rsidR="00A41ED5" w:rsidRPr="00436442">
        <w:rPr>
          <w:rFonts w:ascii="Arial" w:hAnsi="Arial" w:cs="Arial"/>
          <w:sz w:val="23"/>
          <w:szCs w:val="23"/>
        </w:rPr>
        <w:t>,</w:t>
      </w:r>
      <w:r w:rsidRPr="00436442">
        <w:rPr>
          <w:rFonts w:ascii="Arial" w:hAnsi="Arial" w:cs="Arial"/>
          <w:sz w:val="23"/>
          <w:szCs w:val="23"/>
        </w:rPr>
        <w:t xml:space="preserve"> most crucially</w:t>
      </w:r>
      <w:r w:rsidR="00A76C04" w:rsidRPr="00436442">
        <w:rPr>
          <w:rFonts w:ascii="Arial" w:hAnsi="Arial" w:cs="Arial"/>
          <w:sz w:val="23"/>
          <w:szCs w:val="23"/>
        </w:rPr>
        <w:t>,</w:t>
      </w:r>
      <w:r w:rsidRPr="00436442">
        <w:rPr>
          <w:rFonts w:ascii="Arial" w:hAnsi="Arial" w:cs="Arial"/>
          <w:sz w:val="23"/>
          <w:szCs w:val="23"/>
        </w:rPr>
        <w:t xml:space="preserve"> </w:t>
      </w:r>
      <w:r w:rsidR="00A76C04" w:rsidRPr="00436442">
        <w:rPr>
          <w:rFonts w:ascii="Arial" w:hAnsi="Arial" w:cs="Arial"/>
          <w:sz w:val="23"/>
          <w:szCs w:val="23"/>
        </w:rPr>
        <w:t>should</w:t>
      </w:r>
      <w:r w:rsidRPr="00436442">
        <w:rPr>
          <w:rFonts w:ascii="Arial" w:hAnsi="Arial" w:cs="Arial"/>
          <w:sz w:val="23"/>
          <w:szCs w:val="23"/>
        </w:rPr>
        <w:t xml:space="preserve"> accommodate Scottish local authority areas and their specific needs.</w:t>
      </w:r>
    </w:p>
    <w:p w14:paraId="07209D7A" w14:textId="77777777" w:rsidR="009B3C66" w:rsidRPr="00436442" w:rsidRDefault="009B3C66" w:rsidP="009B3C66">
      <w:pPr>
        <w:pStyle w:val="NormalWeb"/>
        <w:spacing w:before="0" w:beforeAutospacing="0" w:after="0" w:afterAutospacing="0"/>
        <w:rPr>
          <w:rFonts w:ascii="Arial" w:hAnsi="Arial" w:cs="Arial"/>
          <w:sz w:val="23"/>
          <w:szCs w:val="23"/>
        </w:rPr>
      </w:pPr>
    </w:p>
    <w:p w14:paraId="258A745A" w14:textId="77777777" w:rsidR="00306309" w:rsidRPr="00436442" w:rsidRDefault="00F839ED" w:rsidP="00306309">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As North Ayrshire </w:t>
      </w:r>
      <w:r w:rsidR="002E512E" w:rsidRPr="00436442">
        <w:rPr>
          <w:rFonts w:ascii="Arial" w:hAnsi="Arial" w:cs="Arial"/>
          <w:sz w:val="23"/>
          <w:szCs w:val="23"/>
        </w:rPr>
        <w:t>Council highlight</w:t>
      </w:r>
      <w:r w:rsidRPr="00436442">
        <w:rPr>
          <w:rFonts w:ascii="Arial" w:hAnsi="Arial" w:cs="Arial"/>
          <w:sz w:val="23"/>
          <w:szCs w:val="23"/>
        </w:rPr>
        <w:t>e</w:t>
      </w:r>
      <w:r w:rsidR="002E512E" w:rsidRPr="00436442">
        <w:rPr>
          <w:rFonts w:ascii="Arial" w:hAnsi="Arial" w:cs="Arial"/>
          <w:sz w:val="23"/>
          <w:szCs w:val="23"/>
        </w:rPr>
        <w:t>d in their feedback to us</w:t>
      </w:r>
      <w:r w:rsidRPr="00436442">
        <w:rPr>
          <w:rFonts w:ascii="Arial" w:hAnsi="Arial" w:cs="Arial"/>
          <w:sz w:val="23"/>
          <w:szCs w:val="23"/>
        </w:rPr>
        <w:t>, a general one</w:t>
      </w:r>
      <w:r w:rsidR="002E512E" w:rsidRPr="00436442">
        <w:rPr>
          <w:rFonts w:ascii="Arial" w:hAnsi="Arial" w:cs="Arial"/>
          <w:sz w:val="23"/>
          <w:szCs w:val="23"/>
        </w:rPr>
        <w:t>-</w:t>
      </w:r>
      <w:r w:rsidRPr="00436442">
        <w:rPr>
          <w:rFonts w:ascii="Arial" w:hAnsi="Arial" w:cs="Arial"/>
          <w:sz w:val="23"/>
          <w:szCs w:val="23"/>
        </w:rPr>
        <w:t>size</w:t>
      </w:r>
      <w:r w:rsidR="002E512E" w:rsidRPr="00436442">
        <w:rPr>
          <w:rFonts w:ascii="Arial" w:hAnsi="Arial" w:cs="Arial"/>
          <w:sz w:val="23"/>
          <w:szCs w:val="23"/>
        </w:rPr>
        <w:t>-</w:t>
      </w:r>
      <w:r w:rsidRPr="00436442">
        <w:rPr>
          <w:rFonts w:ascii="Arial" w:hAnsi="Arial" w:cs="Arial"/>
          <w:sz w:val="23"/>
          <w:szCs w:val="23"/>
        </w:rPr>
        <w:t>fits</w:t>
      </w:r>
      <w:r w:rsidR="002E512E" w:rsidRPr="00436442">
        <w:rPr>
          <w:rFonts w:ascii="Arial" w:hAnsi="Arial" w:cs="Arial"/>
          <w:sz w:val="23"/>
          <w:szCs w:val="23"/>
        </w:rPr>
        <w:t>-</w:t>
      </w:r>
      <w:r w:rsidRPr="00436442">
        <w:rPr>
          <w:rFonts w:ascii="Arial" w:hAnsi="Arial" w:cs="Arial"/>
          <w:sz w:val="23"/>
          <w:szCs w:val="23"/>
        </w:rPr>
        <w:t xml:space="preserve">all immigration policy could accelerate depopulation </w:t>
      </w:r>
      <w:r w:rsidR="008F212B" w:rsidRPr="00436442">
        <w:rPr>
          <w:rFonts w:ascii="Arial" w:hAnsi="Arial" w:cs="Arial"/>
          <w:sz w:val="23"/>
          <w:szCs w:val="23"/>
        </w:rPr>
        <w:t>and</w:t>
      </w:r>
      <w:r w:rsidR="002F77D3" w:rsidRPr="00436442">
        <w:rPr>
          <w:rFonts w:ascii="Arial" w:hAnsi="Arial" w:cs="Arial"/>
          <w:sz w:val="23"/>
          <w:szCs w:val="23"/>
        </w:rPr>
        <w:t>, as a result</w:t>
      </w:r>
      <w:r w:rsidR="00B91538" w:rsidRPr="00436442">
        <w:rPr>
          <w:rFonts w:ascii="Arial" w:hAnsi="Arial" w:cs="Arial"/>
          <w:sz w:val="23"/>
          <w:szCs w:val="23"/>
        </w:rPr>
        <w:t>, have significant</w:t>
      </w:r>
      <w:r w:rsidRPr="00436442">
        <w:rPr>
          <w:rFonts w:ascii="Arial" w:hAnsi="Arial" w:cs="Arial"/>
          <w:sz w:val="23"/>
          <w:szCs w:val="23"/>
        </w:rPr>
        <w:t xml:space="preserve"> implications for economic activity in the areas in Scotland predicted to have population loss, particularly the West of Scotland. </w:t>
      </w:r>
      <w:r w:rsidR="00A976D6" w:rsidRPr="00436442">
        <w:rPr>
          <w:rFonts w:ascii="Arial" w:hAnsi="Arial" w:cs="Arial"/>
          <w:sz w:val="23"/>
          <w:szCs w:val="23"/>
        </w:rPr>
        <w:t xml:space="preserve"> I</w:t>
      </w:r>
      <w:r w:rsidRPr="00436442">
        <w:rPr>
          <w:rFonts w:ascii="Arial" w:hAnsi="Arial" w:cs="Arial"/>
          <w:sz w:val="23"/>
          <w:szCs w:val="23"/>
        </w:rPr>
        <w:t>mmigration is critical to the Council’s aim of reversing the projected fall</w:t>
      </w:r>
      <w:r w:rsidR="002817F0" w:rsidRPr="00436442">
        <w:rPr>
          <w:rFonts w:ascii="Arial" w:hAnsi="Arial" w:cs="Arial"/>
          <w:sz w:val="23"/>
          <w:szCs w:val="23"/>
        </w:rPr>
        <w:t xml:space="preserve"> and, as such, they</w:t>
      </w:r>
      <w:r w:rsidRPr="00436442">
        <w:rPr>
          <w:rFonts w:ascii="Arial" w:hAnsi="Arial" w:cs="Arial"/>
          <w:sz w:val="23"/>
          <w:szCs w:val="23"/>
        </w:rPr>
        <w:t xml:space="preserve"> would welcome any policy initiatives that would benefit areas of Scotland that are vulnerable to population decline.</w:t>
      </w:r>
    </w:p>
    <w:p w14:paraId="4B9E7A16" w14:textId="77777777" w:rsidR="00306309" w:rsidRPr="00436442" w:rsidRDefault="00306309" w:rsidP="00306309">
      <w:pPr>
        <w:pStyle w:val="ListParagraph"/>
        <w:rPr>
          <w:rFonts w:ascii="Arial" w:hAnsi="Arial" w:cs="Arial"/>
          <w:sz w:val="23"/>
          <w:szCs w:val="23"/>
        </w:rPr>
      </w:pPr>
    </w:p>
    <w:p w14:paraId="7C7AE543" w14:textId="27C30B79" w:rsidR="00306309" w:rsidRDefault="00306309" w:rsidP="00306309">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Scottish Borders </w:t>
      </w:r>
      <w:r w:rsidR="00026CFA" w:rsidRPr="00436442">
        <w:rPr>
          <w:rFonts w:ascii="Arial" w:hAnsi="Arial" w:cs="Arial"/>
          <w:sz w:val="23"/>
          <w:szCs w:val="23"/>
        </w:rPr>
        <w:t xml:space="preserve">Council also </w:t>
      </w:r>
      <w:r w:rsidRPr="00436442">
        <w:rPr>
          <w:rFonts w:ascii="Arial" w:hAnsi="Arial" w:cs="Arial"/>
          <w:sz w:val="23"/>
          <w:szCs w:val="23"/>
        </w:rPr>
        <w:t xml:space="preserve">support a regional approach taken to migration, </w:t>
      </w:r>
      <w:r w:rsidR="001C2233" w:rsidRPr="00436442">
        <w:rPr>
          <w:rFonts w:ascii="Arial" w:hAnsi="Arial" w:cs="Arial"/>
          <w:sz w:val="23"/>
          <w:szCs w:val="23"/>
        </w:rPr>
        <w:t xml:space="preserve">and one </w:t>
      </w:r>
      <w:r w:rsidRPr="00436442">
        <w:rPr>
          <w:rFonts w:ascii="Arial" w:hAnsi="Arial" w:cs="Arial"/>
          <w:sz w:val="23"/>
          <w:szCs w:val="23"/>
        </w:rPr>
        <w:t xml:space="preserve">which recognises the demographic challenges in different parts of the UK, and the relative wage levels in these areas.  </w:t>
      </w:r>
      <w:r w:rsidR="00796374" w:rsidRPr="00436442">
        <w:rPr>
          <w:rFonts w:ascii="Arial" w:hAnsi="Arial" w:cs="Arial"/>
          <w:sz w:val="23"/>
          <w:szCs w:val="23"/>
        </w:rPr>
        <w:t xml:space="preserve">The </w:t>
      </w:r>
      <w:r w:rsidR="00BB6E5D" w:rsidRPr="00436442">
        <w:rPr>
          <w:rFonts w:ascii="Arial" w:hAnsi="Arial" w:cs="Arial"/>
          <w:sz w:val="23"/>
          <w:szCs w:val="23"/>
        </w:rPr>
        <w:t xml:space="preserve">Council </w:t>
      </w:r>
      <w:r w:rsidRPr="00436442">
        <w:rPr>
          <w:rFonts w:ascii="Arial" w:hAnsi="Arial" w:cs="Arial"/>
          <w:sz w:val="23"/>
          <w:szCs w:val="23"/>
        </w:rPr>
        <w:t>believe</w:t>
      </w:r>
      <w:r w:rsidR="00BB6E5D" w:rsidRPr="00436442">
        <w:rPr>
          <w:rFonts w:ascii="Arial" w:hAnsi="Arial" w:cs="Arial"/>
          <w:sz w:val="23"/>
          <w:szCs w:val="23"/>
        </w:rPr>
        <w:t>s that</w:t>
      </w:r>
      <w:r w:rsidRPr="00436442">
        <w:rPr>
          <w:rFonts w:ascii="Arial" w:hAnsi="Arial" w:cs="Arial"/>
          <w:sz w:val="23"/>
          <w:szCs w:val="23"/>
        </w:rPr>
        <w:t xml:space="preserve"> the</w:t>
      </w:r>
      <w:r w:rsidR="000C49FD" w:rsidRPr="00436442">
        <w:rPr>
          <w:rFonts w:ascii="Arial" w:hAnsi="Arial" w:cs="Arial"/>
          <w:sz w:val="23"/>
          <w:szCs w:val="23"/>
        </w:rPr>
        <w:t>re</w:t>
      </w:r>
      <w:r w:rsidRPr="00436442">
        <w:rPr>
          <w:rFonts w:ascii="Arial" w:hAnsi="Arial" w:cs="Arial"/>
          <w:sz w:val="23"/>
          <w:szCs w:val="23"/>
        </w:rPr>
        <w:t xml:space="preserve"> should </w:t>
      </w:r>
      <w:r w:rsidR="000C49FD" w:rsidRPr="00436442">
        <w:rPr>
          <w:rFonts w:ascii="Arial" w:hAnsi="Arial" w:cs="Arial"/>
          <w:sz w:val="23"/>
          <w:szCs w:val="23"/>
        </w:rPr>
        <w:t>be</w:t>
      </w:r>
      <w:r w:rsidRPr="00436442">
        <w:rPr>
          <w:rFonts w:ascii="Arial" w:hAnsi="Arial" w:cs="Arial"/>
          <w:sz w:val="23"/>
          <w:szCs w:val="23"/>
        </w:rPr>
        <w:t xml:space="preserve"> a minimum threshold which is specific to that area and </w:t>
      </w:r>
      <w:r w:rsidR="00F70695" w:rsidRPr="00436442">
        <w:rPr>
          <w:rFonts w:ascii="Arial" w:hAnsi="Arial" w:cs="Arial"/>
          <w:sz w:val="23"/>
          <w:szCs w:val="23"/>
        </w:rPr>
        <w:t xml:space="preserve">which </w:t>
      </w:r>
      <w:r w:rsidRPr="00436442">
        <w:rPr>
          <w:rFonts w:ascii="Arial" w:hAnsi="Arial" w:cs="Arial"/>
          <w:sz w:val="23"/>
          <w:szCs w:val="23"/>
        </w:rPr>
        <w:t>would fit the characteristics of the regional economy.</w:t>
      </w:r>
    </w:p>
    <w:p w14:paraId="32769F34" w14:textId="77777777" w:rsidR="00306309" w:rsidRPr="00436442" w:rsidRDefault="00306309" w:rsidP="00D565B5">
      <w:pPr>
        <w:pStyle w:val="NormalWeb"/>
        <w:spacing w:before="0" w:beforeAutospacing="0" w:after="0" w:afterAutospacing="0"/>
        <w:rPr>
          <w:rFonts w:ascii="Arial" w:hAnsi="Arial" w:cs="Arial"/>
          <w:sz w:val="23"/>
          <w:szCs w:val="23"/>
        </w:rPr>
      </w:pPr>
    </w:p>
    <w:p w14:paraId="3F780C8B" w14:textId="56B497D0" w:rsidR="00E345D1" w:rsidRPr="00436442" w:rsidRDefault="00731217" w:rsidP="00737C35">
      <w:pPr>
        <w:pStyle w:val="ListParagraph"/>
        <w:numPr>
          <w:ilvl w:val="0"/>
          <w:numId w:val="2"/>
        </w:numPr>
        <w:rPr>
          <w:rFonts w:ascii="Arial" w:hAnsi="Arial" w:cs="Arial"/>
          <w:sz w:val="23"/>
          <w:szCs w:val="23"/>
        </w:rPr>
      </w:pPr>
      <w:r w:rsidRPr="00436442">
        <w:rPr>
          <w:rFonts w:ascii="Arial" w:hAnsi="Arial" w:cs="Arial"/>
          <w:sz w:val="23"/>
          <w:szCs w:val="23"/>
        </w:rPr>
        <w:t xml:space="preserve">More broadly, </w:t>
      </w:r>
      <w:r w:rsidR="003861E9" w:rsidRPr="00436442">
        <w:rPr>
          <w:rFonts w:ascii="Arial" w:hAnsi="Arial" w:cs="Arial"/>
          <w:sz w:val="23"/>
          <w:szCs w:val="23"/>
        </w:rPr>
        <w:t>COSLA and our member councils are very concerned that</w:t>
      </w:r>
      <w:r w:rsidR="00596160" w:rsidRPr="00436442">
        <w:rPr>
          <w:rFonts w:ascii="Arial" w:hAnsi="Arial" w:cs="Arial"/>
          <w:sz w:val="23"/>
          <w:szCs w:val="23"/>
        </w:rPr>
        <w:t>, while</w:t>
      </w:r>
      <w:r w:rsidR="003861E9" w:rsidRPr="00436442">
        <w:rPr>
          <w:rFonts w:ascii="Arial" w:hAnsi="Arial" w:cs="Arial"/>
          <w:sz w:val="23"/>
          <w:szCs w:val="23"/>
        </w:rPr>
        <w:t xml:space="preserve"> we have a Scottish SOL</w:t>
      </w:r>
      <w:r w:rsidR="00596160" w:rsidRPr="00436442">
        <w:rPr>
          <w:rFonts w:ascii="Arial" w:hAnsi="Arial" w:cs="Arial"/>
          <w:sz w:val="23"/>
          <w:szCs w:val="23"/>
        </w:rPr>
        <w:t xml:space="preserve">, </w:t>
      </w:r>
      <w:r w:rsidR="003861E9" w:rsidRPr="00436442">
        <w:rPr>
          <w:rFonts w:ascii="Arial" w:hAnsi="Arial" w:cs="Arial"/>
          <w:sz w:val="23"/>
          <w:szCs w:val="23"/>
        </w:rPr>
        <w:t xml:space="preserve">there are no Scottish perspectives represented and involved in MAC’s decision-making processes.  There is a clear need for Scottish stakeholders to have a greater role in planning and monitoring our immediate and projected labour shortages in developing an immigration policy post-Brexit.  There is also a need to look </w:t>
      </w:r>
      <w:r w:rsidR="00737C35" w:rsidRPr="00436442">
        <w:rPr>
          <w:rFonts w:ascii="Arial" w:hAnsi="Arial" w:cs="Arial"/>
          <w:sz w:val="23"/>
          <w:szCs w:val="23"/>
        </w:rPr>
        <w:t>below the national level</w:t>
      </w:r>
      <w:r w:rsidR="00D759C7" w:rsidRPr="00436442">
        <w:rPr>
          <w:rFonts w:ascii="Arial" w:hAnsi="Arial" w:cs="Arial"/>
          <w:sz w:val="23"/>
          <w:szCs w:val="23"/>
        </w:rPr>
        <w:t xml:space="preserve">, </w:t>
      </w:r>
      <w:r w:rsidR="00E345D1" w:rsidRPr="00436442">
        <w:rPr>
          <w:rFonts w:ascii="Arial" w:hAnsi="Arial" w:cs="Arial"/>
          <w:sz w:val="23"/>
          <w:szCs w:val="23"/>
        </w:rPr>
        <w:t>so that</w:t>
      </w:r>
      <w:r w:rsidR="00D759C7" w:rsidRPr="00436442">
        <w:rPr>
          <w:rFonts w:ascii="Arial" w:hAnsi="Arial" w:cs="Arial"/>
          <w:sz w:val="23"/>
          <w:szCs w:val="23"/>
        </w:rPr>
        <w:t xml:space="preserve"> we can consider a SOL or</w:t>
      </w:r>
      <w:r w:rsidR="003861E9" w:rsidRPr="00436442">
        <w:rPr>
          <w:rFonts w:ascii="Arial" w:hAnsi="Arial" w:cs="Arial"/>
          <w:sz w:val="23"/>
          <w:szCs w:val="23"/>
        </w:rPr>
        <w:t xml:space="preserve"> </w:t>
      </w:r>
      <w:r w:rsidR="00737C35" w:rsidRPr="00436442">
        <w:rPr>
          <w:rFonts w:ascii="Arial" w:hAnsi="Arial" w:cs="Arial"/>
          <w:sz w:val="23"/>
          <w:szCs w:val="23"/>
        </w:rPr>
        <w:t>s</w:t>
      </w:r>
      <w:r w:rsidR="00B30764" w:rsidRPr="00436442">
        <w:rPr>
          <w:rFonts w:ascii="Arial" w:hAnsi="Arial" w:cs="Arial"/>
          <w:sz w:val="23"/>
          <w:szCs w:val="23"/>
        </w:rPr>
        <w:t xml:space="preserve">kills </w:t>
      </w:r>
      <w:r w:rsidR="00A36076" w:rsidRPr="00436442">
        <w:rPr>
          <w:rFonts w:ascii="Arial" w:hAnsi="Arial" w:cs="Arial"/>
          <w:sz w:val="23"/>
          <w:szCs w:val="23"/>
        </w:rPr>
        <w:t>i</w:t>
      </w:r>
      <w:r w:rsidR="00B30764" w:rsidRPr="00436442">
        <w:rPr>
          <w:rFonts w:ascii="Arial" w:hAnsi="Arial" w:cs="Arial"/>
          <w:sz w:val="23"/>
          <w:szCs w:val="23"/>
        </w:rPr>
        <w:t>n-</w:t>
      </w:r>
      <w:r w:rsidR="00A36076" w:rsidRPr="00436442">
        <w:rPr>
          <w:rFonts w:ascii="Arial" w:hAnsi="Arial" w:cs="Arial"/>
          <w:sz w:val="23"/>
          <w:szCs w:val="23"/>
        </w:rPr>
        <w:t>d</w:t>
      </w:r>
      <w:r w:rsidR="00B30764" w:rsidRPr="00436442">
        <w:rPr>
          <w:rFonts w:ascii="Arial" w:hAnsi="Arial" w:cs="Arial"/>
          <w:sz w:val="23"/>
          <w:szCs w:val="23"/>
        </w:rPr>
        <w:t xml:space="preserve">emand list </w:t>
      </w:r>
      <w:r w:rsidR="00D759C7" w:rsidRPr="00436442">
        <w:rPr>
          <w:rFonts w:ascii="Arial" w:hAnsi="Arial" w:cs="Arial"/>
          <w:sz w:val="23"/>
          <w:szCs w:val="23"/>
        </w:rPr>
        <w:t xml:space="preserve">that is </w:t>
      </w:r>
      <w:r w:rsidR="00B30764" w:rsidRPr="00436442">
        <w:rPr>
          <w:rFonts w:ascii="Arial" w:hAnsi="Arial" w:cs="Arial"/>
          <w:sz w:val="23"/>
          <w:szCs w:val="23"/>
        </w:rPr>
        <w:t xml:space="preserve">relevant down to </w:t>
      </w:r>
      <w:r w:rsidR="00E345D1" w:rsidRPr="00436442">
        <w:rPr>
          <w:rFonts w:ascii="Arial" w:hAnsi="Arial" w:cs="Arial"/>
          <w:sz w:val="23"/>
          <w:szCs w:val="23"/>
        </w:rPr>
        <w:t>l</w:t>
      </w:r>
      <w:r w:rsidR="00B30764" w:rsidRPr="00436442">
        <w:rPr>
          <w:rFonts w:ascii="Arial" w:hAnsi="Arial" w:cs="Arial"/>
          <w:sz w:val="23"/>
          <w:szCs w:val="23"/>
        </w:rPr>
        <w:t xml:space="preserve">ocal </w:t>
      </w:r>
      <w:r w:rsidR="00E345D1" w:rsidRPr="00436442">
        <w:rPr>
          <w:rFonts w:ascii="Arial" w:hAnsi="Arial" w:cs="Arial"/>
          <w:sz w:val="23"/>
          <w:szCs w:val="23"/>
        </w:rPr>
        <w:t>a</w:t>
      </w:r>
      <w:r w:rsidR="00B30764" w:rsidRPr="00436442">
        <w:rPr>
          <w:rFonts w:ascii="Arial" w:hAnsi="Arial" w:cs="Arial"/>
          <w:sz w:val="23"/>
          <w:szCs w:val="23"/>
        </w:rPr>
        <w:t>uthority level</w:t>
      </w:r>
      <w:r w:rsidR="003861E9" w:rsidRPr="00436442">
        <w:rPr>
          <w:rFonts w:ascii="Arial" w:hAnsi="Arial" w:cs="Arial"/>
          <w:sz w:val="23"/>
          <w:szCs w:val="23"/>
        </w:rPr>
        <w:t>.</w:t>
      </w:r>
    </w:p>
    <w:p w14:paraId="6C349115" w14:textId="5FC263B5" w:rsidR="006354C0" w:rsidRPr="00436442" w:rsidRDefault="003861E9" w:rsidP="00E345D1">
      <w:pPr>
        <w:rPr>
          <w:rFonts w:ascii="Arial" w:hAnsi="Arial" w:cs="Arial"/>
          <w:sz w:val="23"/>
          <w:szCs w:val="23"/>
        </w:rPr>
      </w:pPr>
      <w:r w:rsidRPr="00436442">
        <w:rPr>
          <w:rFonts w:ascii="Arial" w:hAnsi="Arial" w:cs="Arial"/>
          <w:sz w:val="23"/>
          <w:szCs w:val="23"/>
        </w:rPr>
        <w:t xml:space="preserve">  </w:t>
      </w:r>
      <w:r w:rsidR="00B30764" w:rsidRPr="00436442">
        <w:rPr>
          <w:rFonts w:ascii="Arial" w:hAnsi="Arial" w:cs="Arial"/>
          <w:sz w:val="23"/>
          <w:szCs w:val="23"/>
        </w:rPr>
        <w:t xml:space="preserve"> </w:t>
      </w:r>
    </w:p>
    <w:p w14:paraId="665DDF87" w14:textId="44A1C27A" w:rsidR="0093179C" w:rsidRPr="00436442" w:rsidRDefault="00D759C7" w:rsidP="0093179C">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Some councils </w:t>
      </w:r>
      <w:r w:rsidR="00E345D1" w:rsidRPr="00436442">
        <w:rPr>
          <w:rFonts w:ascii="Arial" w:hAnsi="Arial" w:cs="Arial"/>
          <w:sz w:val="23"/>
          <w:szCs w:val="23"/>
        </w:rPr>
        <w:t xml:space="preserve">have indicated to us that they </w:t>
      </w:r>
      <w:r w:rsidR="00B30764" w:rsidRPr="00436442">
        <w:rPr>
          <w:rFonts w:ascii="Arial" w:hAnsi="Arial" w:cs="Arial"/>
          <w:sz w:val="23"/>
          <w:szCs w:val="23"/>
        </w:rPr>
        <w:t>favour a Regional Sponsorship Scheme (similar to Australia).  Th</w:t>
      </w:r>
      <w:r w:rsidR="00E345D1" w:rsidRPr="00436442">
        <w:rPr>
          <w:rFonts w:ascii="Arial" w:hAnsi="Arial" w:cs="Arial"/>
          <w:sz w:val="23"/>
          <w:szCs w:val="23"/>
        </w:rPr>
        <w:t>i</w:t>
      </w:r>
      <w:r w:rsidR="00B30764" w:rsidRPr="00436442">
        <w:rPr>
          <w:rFonts w:ascii="Arial" w:hAnsi="Arial" w:cs="Arial"/>
          <w:sz w:val="23"/>
          <w:szCs w:val="23"/>
        </w:rPr>
        <w:t>s would enable region</w:t>
      </w:r>
      <w:r w:rsidRPr="00436442">
        <w:rPr>
          <w:rFonts w:ascii="Arial" w:hAnsi="Arial" w:cs="Arial"/>
          <w:sz w:val="23"/>
          <w:szCs w:val="23"/>
        </w:rPr>
        <w:t>s</w:t>
      </w:r>
      <w:r w:rsidR="00B30764" w:rsidRPr="00436442">
        <w:rPr>
          <w:rFonts w:ascii="Arial" w:hAnsi="Arial" w:cs="Arial"/>
          <w:sz w:val="23"/>
          <w:szCs w:val="23"/>
        </w:rPr>
        <w:t xml:space="preserve"> to recruit any relevant staff required from </w:t>
      </w:r>
      <w:r w:rsidR="0085338C" w:rsidRPr="00436442">
        <w:rPr>
          <w:rFonts w:ascii="Arial" w:hAnsi="Arial" w:cs="Arial"/>
          <w:sz w:val="23"/>
          <w:szCs w:val="23"/>
        </w:rPr>
        <w:t>o</w:t>
      </w:r>
      <w:r w:rsidR="00B30764" w:rsidRPr="00436442">
        <w:rPr>
          <w:rFonts w:ascii="Arial" w:hAnsi="Arial" w:cs="Arial"/>
          <w:sz w:val="23"/>
          <w:szCs w:val="23"/>
        </w:rPr>
        <w:t xml:space="preserve">verseas on </w:t>
      </w:r>
      <w:r w:rsidRPr="00436442">
        <w:rPr>
          <w:rFonts w:ascii="Arial" w:hAnsi="Arial" w:cs="Arial"/>
          <w:sz w:val="23"/>
          <w:szCs w:val="23"/>
        </w:rPr>
        <w:t>a</w:t>
      </w:r>
      <w:r w:rsidR="00B30764" w:rsidRPr="00436442">
        <w:rPr>
          <w:rFonts w:ascii="Arial" w:hAnsi="Arial" w:cs="Arial"/>
          <w:sz w:val="23"/>
          <w:szCs w:val="23"/>
        </w:rPr>
        <w:t xml:space="preserve"> specific </w:t>
      </w:r>
      <w:r w:rsidR="0085338C" w:rsidRPr="00436442">
        <w:rPr>
          <w:rFonts w:ascii="Arial" w:hAnsi="Arial" w:cs="Arial"/>
          <w:sz w:val="23"/>
          <w:szCs w:val="23"/>
        </w:rPr>
        <w:t>‘</w:t>
      </w:r>
      <w:r w:rsidR="00B30764" w:rsidRPr="00436442">
        <w:rPr>
          <w:rFonts w:ascii="Arial" w:hAnsi="Arial" w:cs="Arial"/>
          <w:sz w:val="23"/>
          <w:szCs w:val="23"/>
        </w:rPr>
        <w:t>Skills In-Demand</w:t>
      </w:r>
      <w:r w:rsidR="0085338C" w:rsidRPr="00436442">
        <w:rPr>
          <w:rFonts w:ascii="Arial" w:hAnsi="Arial" w:cs="Arial"/>
          <w:sz w:val="23"/>
          <w:szCs w:val="23"/>
        </w:rPr>
        <w:t>’</w:t>
      </w:r>
      <w:r w:rsidR="00B30764" w:rsidRPr="00436442">
        <w:rPr>
          <w:rFonts w:ascii="Arial" w:hAnsi="Arial" w:cs="Arial"/>
          <w:sz w:val="23"/>
          <w:szCs w:val="23"/>
        </w:rPr>
        <w:t xml:space="preserve"> list and they would have a requirement to live within the region for a set period.</w:t>
      </w:r>
      <w:r w:rsidR="00EB651E" w:rsidRPr="00436442">
        <w:rPr>
          <w:rFonts w:ascii="Arial" w:hAnsi="Arial" w:cs="Arial"/>
          <w:sz w:val="23"/>
          <w:szCs w:val="23"/>
        </w:rPr>
        <w:t xml:space="preserve">  It was also suggested </w:t>
      </w:r>
      <w:r w:rsidR="00EB651E" w:rsidRPr="00436442">
        <w:rPr>
          <w:rFonts w:ascii="Arial" w:hAnsi="Arial" w:cs="Arial"/>
          <w:sz w:val="23"/>
          <w:szCs w:val="23"/>
          <w:shd w:val="clear" w:color="auto" w:fill="FFFFFF"/>
        </w:rPr>
        <w:t>that</w:t>
      </w:r>
      <w:r w:rsidRPr="00436442">
        <w:rPr>
          <w:rFonts w:ascii="Arial" w:hAnsi="Arial" w:cs="Arial"/>
          <w:sz w:val="23"/>
          <w:szCs w:val="23"/>
          <w:shd w:val="clear" w:color="auto" w:fill="FFFFFF"/>
        </w:rPr>
        <w:t xml:space="preserve"> r</w:t>
      </w:r>
      <w:r w:rsidR="00B30764" w:rsidRPr="00436442">
        <w:rPr>
          <w:rFonts w:ascii="Arial" w:hAnsi="Arial" w:cs="Arial"/>
          <w:sz w:val="23"/>
          <w:szCs w:val="23"/>
          <w:shd w:val="clear" w:color="auto" w:fill="FFFFFF"/>
        </w:rPr>
        <w:t xml:space="preserve">egional variations would better reflect the variation in average wages within and across the UK. </w:t>
      </w:r>
      <w:r w:rsidR="00EB651E" w:rsidRPr="00436442">
        <w:rPr>
          <w:rFonts w:ascii="Arial" w:hAnsi="Arial" w:cs="Arial"/>
          <w:sz w:val="23"/>
          <w:szCs w:val="23"/>
          <w:shd w:val="clear" w:color="auto" w:fill="FFFFFF"/>
        </w:rPr>
        <w:t xml:space="preserve"> Any s</w:t>
      </w:r>
      <w:r w:rsidR="00B30764" w:rsidRPr="00436442">
        <w:rPr>
          <w:rFonts w:ascii="Arial" w:hAnsi="Arial" w:cs="Arial"/>
          <w:sz w:val="23"/>
          <w:szCs w:val="23"/>
          <w:shd w:val="clear" w:color="auto" w:fill="FFFFFF"/>
        </w:rPr>
        <w:t>alary thresholds should</w:t>
      </w:r>
      <w:r w:rsidR="00EB651E" w:rsidRPr="00436442">
        <w:rPr>
          <w:rFonts w:ascii="Arial" w:hAnsi="Arial" w:cs="Arial"/>
          <w:sz w:val="23"/>
          <w:szCs w:val="23"/>
          <w:shd w:val="clear" w:color="auto" w:fill="FFFFFF"/>
        </w:rPr>
        <w:t xml:space="preserve"> therefore</w:t>
      </w:r>
      <w:r w:rsidR="00B30764" w:rsidRPr="00436442">
        <w:rPr>
          <w:rFonts w:ascii="Arial" w:hAnsi="Arial" w:cs="Arial"/>
          <w:sz w:val="23"/>
          <w:szCs w:val="23"/>
          <w:shd w:val="clear" w:color="auto" w:fill="FFFFFF"/>
        </w:rPr>
        <w:t xml:space="preserve"> reflect the requirement to deliver sustainable public services</w:t>
      </w:r>
      <w:r w:rsidR="00184FB6" w:rsidRPr="00436442">
        <w:rPr>
          <w:rFonts w:ascii="Arial" w:hAnsi="Arial" w:cs="Arial"/>
          <w:sz w:val="23"/>
          <w:szCs w:val="23"/>
          <w:shd w:val="clear" w:color="auto" w:fill="FFFFFF"/>
        </w:rPr>
        <w:t>,</w:t>
      </w:r>
      <w:r w:rsidR="00B30764" w:rsidRPr="00436442">
        <w:rPr>
          <w:rFonts w:ascii="Arial" w:hAnsi="Arial" w:cs="Arial"/>
          <w:sz w:val="23"/>
          <w:szCs w:val="23"/>
          <w:shd w:val="clear" w:color="auto" w:fill="FFFFFF"/>
        </w:rPr>
        <w:t xml:space="preserve"> </w:t>
      </w:r>
      <w:r w:rsidR="00526B95" w:rsidRPr="00436442">
        <w:rPr>
          <w:rFonts w:ascii="Arial" w:hAnsi="Arial" w:cs="Arial"/>
          <w:sz w:val="23"/>
          <w:szCs w:val="23"/>
          <w:shd w:val="clear" w:color="auto" w:fill="FFFFFF"/>
        </w:rPr>
        <w:t>not</w:t>
      </w:r>
      <w:r w:rsidR="00B30764" w:rsidRPr="00436442">
        <w:rPr>
          <w:rFonts w:ascii="Arial" w:hAnsi="Arial" w:cs="Arial"/>
          <w:sz w:val="23"/>
          <w:szCs w:val="23"/>
          <w:shd w:val="clear" w:color="auto" w:fill="FFFFFF"/>
        </w:rPr>
        <w:t xml:space="preserve"> </w:t>
      </w:r>
      <w:r w:rsidR="00526B95" w:rsidRPr="00436442">
        <w:rPr>
          <w:rFonts w:ascii="Arial" w:hAnsi="Arial" w:cs="Arial"/>
          <w:sz w:val="23"/>
          <w:szCs w:val="23"/>
          <w:shd w:val="clear" w:color="auto" w:fill="FFFFFF"/>
        </w:rPr>
        <w:t xml:space="preserve">only </w:t>
      </w:r>
      <w:r w:rsidR="00B30764" w:rsidRPr="00436442">
        <w:rPr>
          <w:rFonts w:ascii="Arial" w:hAnsi="Arial" w:cs="Arial"/>
          <w:sz w:val="23"/>
          <w:szCs w:val="23"/>
          <w:shd w:val="clear" w:color="auto" w:fill="FFFFFF"/>
        </w:rPr>
        <w:t xml:space="preserve">within </w:t>
      </w:r>
      <w:r w:rsidR="008B4A9F" w:rsidRPr="00436442">
        <w:rPr>
          <w:rFonts w:ascii="Arial" w:hAnsi="Arial" w:cs="Arial"/>
          <w:sz w:val="23"/>
          <w:szCs w:val="23"/>
          <w:shd w:val="clear" w:color="auto" w:fill="FFFFFF"/>
        </w:rPr>
        <w:t>l</w:t>
      </w:r>
      <w:r w:rsidR="00B30764" w:rsidRPr="00436442">
        <w:rPr>
          <w:rFonts w:ascii="Arial" w:hAnsi="Arial" w:cs="Arial"/>
          <w:sz w:val="23"/>
          <w:szCs w:val="23"/>
          <w:shd w:val="clear" w:color="auto" w:fill="FFFFFF"/>
        </w:rPr>
        <w:t xml:space="preserve">ocal </w:t>
      </w:r>
      <w:r w:rsidR="008B4A9F" w:rsidRPr="00436442">
        <w:rPr>
          <w:rFonts w:ascii="Arial" w:hAnsi="Arial" w:cs="Arial"/>
          <w:sz w:val="23"/>
          <w:szCs w:val="23"/>
          <w:shd w:val="clear" w:color="auto" w:fill="FFFFFF"/>
        </w:rPr>
        <w:t>a</w:t>
      </w:r>
      <w:r w:rsidR="00B30764" w:rsidRPr="00436442">
        <w:rPr>
          <w:rFonts w:ascii="Arial" w:hAnsi="Arial" w:cs="Arial"/>
          <w:sz w:val="23"/>
          <w:szCs w:val="23"/>
          <w:shd w:val="clear" w:color="auto" w:fill="FFFFFF"/>
        </w:rPr>
        <w:t xml:space="preserve">uthorities, </w:t>
      </w:r>
      <w:r w:rsidR="00526B95" w:rsidRPr="00436442">
        <w:rPr>
          <w:rFonts w:ascii="Arial" w:hAnsi="Arial" w:cs="Arial"/>
          <w:sz w:val="23"/>
          <w:szCs w:val="23"/>
          <w:shd w:val="clear" w:color="auto" w:fill="FFFFFF"/>
        </w:rPr>
        <w:t xml:space="preserve">but also across </w:t>
      </w:r>
      <w:r w:rsidR="00B30764" w:rsidRPr="00436442">
        <w:rPr>
          <w:rFonts w:ascii="Arial" w:hAnsi="Arial" w:cs="Arial"/>
          <w:sz w:val="23"/>
          <w:szCs w:val="23"/>
          <w:shd w:val="clear" w:color="auto" w:fill="FFFFFF"/>
        </w:rPr>
        <w:t>the NHS and third sector organisations.</w:t>
      </w:r>
    </w:p>
    <w:p w14:paraId="0CAE933F" w14:textId="77777777" w:rsidR="0093179C" w:rsidRPr="00436442" w:rsidRDefault="0093179C" w:rsidP="0093179C">
      <w:pPr>
        <w:pStyle w:val="NormalWeb"/>
        <w:spacing w:before="0" w:beforeAutospacing="0" w:after="0" w:afterAutospacing="0"/>
        <w:rPr>
          <w:rFonts w:ascii="Arial" w:hAnsi="Arial" w:cs="Arial"/>
          <w:sz w:val="23"/>
          <w:szCs w:val="23"/>
        </w:rPr>
      </w:pPr>
    </w:p>
    <w:p w14:paraId="04ADB677" w14:textId="2FBC31EE" w:rsidR="00554FB5" w:rsidRPr="00436442" w:rsidRDefault="00F839ED" w:rsidP="00554FB5">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As outlined above, t</w:t>
      </w:r>
      <w:r w:rsidR="00A45C19" w:rsidRPr="00436442">
        <w:rPr>
          <w:rFonts w:ascii="Arial" w:hAnsi="Arial" w:cs="Arial"/>
          <w:sz w:val="23"/>
          <w:szCs w:val="23"/>
        </w:rPr>
        <w:t xml:space="preserve">he proposed correlation between qualification and salary threshold poses tensions as there are many skilled positions that would not qualify </w:t>
      </w:r>
      <w:r w:rsidR="005D7690" w:rsidRPr="00436442">
        <w:rPr>
          <w:rFonts w:ascii="Arial" w:hAnsi="Arial" w:cs="Arial"/>
          <w:sz w:val="23"/>
          <w:szCs w:val="23"/>
        </w:rPr>
        <w:t xml:space="preserve">under </w:t>
      </w:r>
      <w:r w:rsidR="00A45C19" w:rsidRPr="00436442">
        <w:rPr>
          <w:rFonts w:ascii="Arial" w:hAnsi="Arial" w:cs="Arial"/>
          <w:sz w:val="23"/>
          <w:szCs w:val="23"/>
        </w:rPr>
        <w:t xml:space="preserve">both in Scotland.  </w:t>
      </w:r>
      <w:r w:rsidR="006D3724" w:rsidRPr="00436442">
        <w:rPr>
          <w:rFonts w:ascii="Arial" w:hAnsi="Arial" w:cs="Arial"/>
          <w:sz w:val="23"/>
          <w:szCs w:val="23"/>
        </w:rPr>
        <w:t>To give one</w:t>
      </w:r>
      <w:r w:rsidRPr="00436442">
        <w:rPr>
          <w:rFonts w:ascii="Arial" w:hAnsi="Arial" w:cs="Arial"/>
          <w:sz w:val="23"/>
          <w:szCs w:val="23"/>
        </w:rPr>
        <w:t xml:space="preserve"> example, Glasgow</w:t>
      </w:r>
      <w:r w:rsidR="00712ACE" w:rsidRPr="00436442">
        <w:rPr>
          <w:rFonts w:ascii="Arial" w:hAnsi="Arial" w:cs="Arial"/>
          <w:sz w:val="23"/>
          <w:szCs w:val="23"/>
        </w:rPr>
        <w:t xml:space="preserve"> City Council highlighted </w:t>
      </w:r>
      <w:r w:rsidR="00B5559C" w:rsidRPr="00436442">
        <w:rPr>
          <w:rFonts w:ascii="Arial" w:hAnsi="Arial" w:cs="Arial"/>
          <w:sz w:val="23"/>
          <w:szCs w:val="23"/>
        </w:rPr>
        <w:t xml:space="preserve">that </w:t>
      </w:r>
      <w:r w:rsidR="00A45C19" w:rsidRPr="00436442">
        <w:rPr>
          <w:rFonts w:ascii="Arial" w:hAnsi="Arial" w:cs="Arial"/>
          <w:sz w:val="23"/>
          <w:szCs w:val="23"/>
        </w:rPr>
        <w:t>credit controllers, plastic operatives, construction</w:t>
      </w:r>
      <w:r w:rsidR="00907637" w:rsidRPr="00436442">
        <w:rPr>
          <w:rFonts w:ascii="Arial" w:hAnsi="Arial" w:cs="Arial"/>
          <w:sz w:val="23"/>
          <w:szCs w:val="23"/>
        </w:rPr>
        <w:t xml:space="preserve"> workers</w:t>
      </w:r>
      <w:r w:rsidR="00A45C19" w:rsidRPr="00436442">
        <w:rPr>
          <w:rFonts w:ascii="Arial" w:hAnsi="Arial" w:cs="Arial"/>
          <w:sz w:val="23"/>
          <w:szCs w:val="23"/>
        </w:rPr>
        <w:t xml:space="preserve">, warehouse managers, </w:t>
      </w:r>
      <w:r w:rsidR="00A45C19" w:rsidRPr="00436442">
        <w:rPr>
          <w:rFonts w:ascii="Arial" w:hAnsi="Arial" w:cs="Arial"/>
          <w:sz w:val="23"/>
          <w:szCs w:val="23"/>
        </w:rPr>
        <w:lastRenderedPageBreak/>
        <w:t>pipe fitters, childcare worker</w:t>
      </w:r>
      <w:r w:rsidR="00907637" w:rsidRPr="00436442">
        <w:rPr>
          <w:rFonts w:ascii="Arial" w:hAnsi="Arial" w:cs="Arial"/>
          <w:sz w:val="23"/>
          <w:szCs w:val="23"/>
        </w:rPr>
        <w:t>s</w:t>
      </w:r>
      <w:r w:rsidR="00A45C19" w:rsidRPr="00436442">
        <w:rPr>
          <w:rFonts w:ascii="Arial" w:hAnsi="Arial" w:cs="Arial"/>
          <w:sz w:val="23"/>
          <w:szCs w:val="23"/>
        </w:rPr>
        <w:t>, skilled technical engineers and chefs</w:t>
      </w:r>
      <w:r w:rsidR="003C573B" w:rsidRPr="00436442">
        <w:rPr>
          <w:rFonts w:ascii="Arial" w:hAnsi="Arial" w:cs="Arial"/>
          <w:sz w:val="23"/>
          <w:szCs w:val="23"/>
        </w:rPr>
        <w:t xml:space="preserve"> would not qualify as a result of not meeting</w:t>
      </w:r>
      <w:r w:rsidR="00A45C19" w:rsidRPr="00436442">
        <w:rPr>
          <w:rFonts w:ascii="Arial" w:hAnsi="Arial" w:cs="Arial"/>
          <w:sz w:val="23"/>
          <w:szCs w:val="23"/>
        </w:rPr>
        <w:t xml:space="preserve"> the salary threshold.</w:t>
      </w:r>
    </w:p>
    <w:p w14:paraId="4E1AD910" w14:textId="77777777" w:rsidR="00554FB5" w:rsidRPr="00436442" w:rsidRDefault="00554FB5" w:rsidP="00554FB5">
      <w:pPr>
        <w:pStyle w:val="NormalWeb"/>
        <w:spacing w:before="0" w:beforeAutospacing="0" w:after="0" w:afterAutospacing="0"/>
        <w:rPr>
          <w:rFonts w:ascii="Arial" w:hAnsi="Arial" w:cs="Arial"/>
          <w:sz w:val="23"/>
          <w:szCs w:val="23"/>
        </w:rPr>
      </w:pPr>
    </w:p>
    <w:p w14:paraId="4B055358" w14:textId="63039EE0" w:rsidR="00F839ED" w:rsidRPr="00436442" w:rsidRDefault="00A45C19" w:rsidP="00645A55">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It is </w:t>
      </w:r>
      <w:r w:rsidR="00730B94" w:rsidRPr="00436442">
        <w:rPr>
          <w:rFonts w:ascii="Arial" w:hAnsi="Arial" w:cs="Arial"/>
          <w:sz w:val="23"/>
          <w:szCs w:val="23"/>
        </w:rPr>
        <w:t xml:space="preserve">also </w:t>
      </w:r>
      <w:r w:rsidRPr="00436442">
        <w:rPr>
          <w:rFonts w:ascii="Arial" w:hAnsi="Arial" w:cs="Arial"/>
          <w:sz w:val="23"/>
          <w:szCs w:val="23"/>
        </w:rPr>
        <w:t xml:space="preserve">important to recognise that the salary threshold is not gender neutral as more women are likely to work part-time than men.  </w:t>
      </w:r>
      <w:r w:rsidR="006C0D9F" w:rsidRPr="00436442">
        <w:rPr>
          <w:rFonts w:ascii="Arial" w:hAnsi="Arial" w:cs="Arial"/>
          <w:sz w:val="23"/>
          <w:szCs w:val="23"/>
        </w:rPr>
        <w:t>I</w:t>
      </w:r>
      <w:r w:rsidRPr="00436442">
        <w:rPr>
          <w:rFonts w:ascii="Arial" w:hAnsi="Arial" w:cs="Arial"/>
          <w:sz w:val="23"/>
          <w:szCs w:val="23"/>
        </w:rPr>
        <w:t>t is not sector neutral</w:t>
      </w:r>
      <w:r w:rsidR="006C0D9F" w:rsidRPr="00436442">
        <w:rPr>
          <w:rFonts w:ascii="Arial" w:hAnsi="Arial" w:cs="Arial"/>
          <w:sz w:val="23"/>
          <w:szCs w:val="23"/>
        </w:rPr>
        <w:t xml:space="preserve"> either</w:t>
      </w:r>
      <w:r w:rsidR="00405481" w:rsidRPr="00436442">
        <w:rPr>
          <w:rFonts w:ascii="Arial" w:hAnsi="Arial" w:cs="Arial"/>
          <w:sz w:val="23"/>
          <w:szCs w:val="23"/>
        </w:rPr>
        <w:t>,</w:t>
      </w:r>
      <w:r w:rsidRPr="00436442">
        <w:rPr>
          <w:rFonts w:ascii="Arial" w:hAnsi="Arial" w:cs="Arial"/>
          <w:sz w:val="23"/>
          <w:szCs w:val="23"/>
        </w:rPr>
        <w:t xml:space="preserve"> with sectors such as social care, retail and hospitality paying less than other sectors.</w:t>
      </w:r>
      <w:r w:rsidR="00405481" w:rsidRPr="00436442">
        <w:rPr>
          <w:rFonts w:ascii="Arial" w:hAnsi="Arial" w:cs="Arial"/>
          <w:sz w:val="23"/>
          <w:szCs w:val="23"/>
        </w:rPr>
        <w:t xml:space="preserve">  </w:t>
      </w:r>
      <w:r w:rsidRPr="00436442">
        <w:rPr>
          <w:rFonts w:ascii="Arial" w:hAnsi="Arial" w:cs="Arial"/>
          <w:sz w:val="23"/>
          <w:szCs w:val="23"/>
        </w:rPr>
        <w:t>A failure to recognise all of these factors will threaten the efficiency of our public services, affect women more than men, increase skill shortages, increase the challenge of labour replacement demand and weaken our economic position.</w:t>
      </w:r>
    </w:p>
    <w:p w14:paraId="7F7308E9" w14:textId="77777777" w:rsidR="008B4A14" w:rsidRPr="00436442" w:rsidRDefault="008B4A14" w:rsidP="008B4A14">
      <w:pPr>
        <w:pStyle w:val="NormalWeb"/>
        <w:spacing w:before="0" w:beforeAutospacing="0" w:after="0" w:afterAutospacing="0"/>
        <w:rPr>
          <w:rFonts w:ascii="Arial" w:hAnsi="Arial" w:cs="Arial"/>
          <w:sz w:val="23"/>
          <w:szCs w:val="23"/>
        </w:rPr>
      </w:pPr>
    </w:p>
    <w:p w14:paraId="79B0BE68" w14:textId="38E72BD8" w:rsidR="00F839ED" w:rsidRPr="00436442" w:rsidRDefault="00F839ED" w:rsidP="008B4A14">
      <w:pPr>
        <w:rPr>
          <w:rFonts w:ascii="Arial" w:eastAsia="Times New Roman" w:hAnsi="Arial" w:cs="Arial"/>
          <w:b/>
          <w:bCs/>
          <w:sz w:val="23"/>
          <w:szCs w:val="23"/>
          <w:lang w:eastAsia="en-GB"/>
        </w:rPr>
      </w:pPr>
      <w:r w:rsidRPr="00436442">
        <w:rPr>
          <w:rFonts w:ascii="Arial" w:eastAsia="Times New Roman" w:hAnsi="Arial" w:cs="Arial"/>
          <w:b/>
          <w:bCs/>
          <w:sz w:val="23"/>
          <w:szCs w:val="23"/>
          <w:lang w:eastAsia="en-GB"/>
        </w:rPr>
        <w:t xml:space="preserve">Settlement eligibility </w:t>
      </w:r>
    </w:p>
    <w:p w14:paraId="03DEAFA7" w14:textId="77777777" w:rsidR="008B4A14" w:rsidRPr="00436442" w:rsidRDefault="008B4A14" w:rsidP="008B4A14">
      <w:pPr>
        <w:pStyle w:val="NormalWeb"/>
        <w:spacing w:before="0" w:beforeAutospacing="0" w:after="0" w:afterAutospacing="0"/>
        <w:ind w:left="360"/>
        <w:rPr>
          <w:rFonts w:ascii="Arial" w:hAnsi="Arial" w:cs="Arial"/>
          <w:sz w:val="23"/>
          <w:szCs w:val="23"/>
        </w:rPr>
      </w:pPr>
    </w:p>
    <w:p w14:paraId="09D26BD4" w14:textId="03930178" w:rsidR="00F839ED" w:rsidRPr="00436442" w:rsidRDefault="001930BE" w:rsidP="008B4A14">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We asked councils for their views on the current £35,800 settlement income threshold for migrant</w:t>
      </w:r>
      <w:r w:rsidR="005C6DBA" w:rsidRPr="00436442">
        <w:rPr>
          <w:rFonts w:ascii="Arial" w:hAnsi="Arial" w:cs="Arial"/>
          <w:sz w:val="23"/>
          <w:szCs w:val="23"/>
        </w:rPr>
        <w:t>s</w:t>
      </w:r>
      <w:r w:rsidRPr="00436442">
        <w:rPr>
          <w:rFonts w:ascii="Arial" w:hAnsi="Arial" w:cs="Arial"/>
          <w:sz w:val="23"/>
          <w:szCs w:val="23"/>
        </w:rPr>
        <w:t xml:space="preserve"> on Tier 2 (General) visas. </w:t>
      </w:r>
      <w:r w:rsidR="00EE21C0" w:rsidRPr="00436442">
        <w:rPr>
          <w:rFonts w:ascii="Arial" w:hAnsi="Arial" w:cs="Arial"/>
          <w:sz w:val="23"/>
          <w:szCs w:val="23"/>
        </w:rPr>
        <w:t xml:space="preserve"> </w:t>
      </w:r>
      <w:r w:rsidR="00B8395A" w:rsidRPr="00436442">
        <w:rPr>
          <w:rFonts w:ascii="Arial" w:hAnsi="Arial" w:cs="Arial"/>
          <w:sz w:val="23"/>
          <w:szCs w:val="23"/>
        </w:rPr>
        <w:t>All but one of the responses that we r</w:t>
      </w:r>
      <w:r w:rsidR="0018428A" w:rsidRPr="00436442">
        <w:rPr>
          <w:rFonts w:ascii="Arial" w:hAnsi="Arial" w:cs="Arial"/>
          <w:sz w:val="23"/>
          <w:szCs w:val="23"/>
        </w:rPr>
        <w:t>eceived stated that the settlement income threshold is too high.  Many suggested t</w:t>
      </w:r>
      <w:r w:rsidR="00F42FD7" w:rsidRPr="00436442">
        <w:rPr>
          <w:rFonts w:ascii="Arial" w:hAnsi="Arial" w:cs="Arial"/>
          <w:sz w:val="23"/>
          <w:szCs w:val="23"/>
        </w:rPr>
        <w:t>hat t</w:t>
      </w:r>
      <w:r w:rsidR="0018428A" w:rsidRPr="00436442">
        <w:rPr>
          <w:rFonts w:ascii="Arial" w:hAnsi="Arial" w:cs="Arial"/>
          <w:sz w:val="23"/>
          <w:szCs w:val="23"/>
        </w:rPr>
        <w:t>he IDL salary threshold should be revisited, along with the £30,000 salary threshold.</w:t>
      </w:r>
    </w:p>
    <w:p w14:paraId="39AC1390" w14:textId="77777777" w:rsidR="00D335FF" w:rsidRPr="00436442" w:rsidRDefault="00D335FF" w:rsidP="00D335FF">
      <w:pPr>
        <w:pStyle w:val="NormalWeb"/>
        <w:spacing w:before="0" w:beforeAutospacing="0" w:after="0" w:afterAutospacing="0"/>
        <w:rPr>
          <w:rFonts w:ascii="Arial" w:hAnsi="Arial" w:cs="Arial"/>
          <w:sz w:val="23"/>
          <w:szCs w:val="23"/>
        </w:rPr>
      </w:pPr>
    </w:p>
    <w:p w14:paraId="53A3D27B" w14:textId="4060BF3F" w:rsidR="000D40C6" w:rsidRPr="00436442" w:rsidRDefault="00162F85" w:rsidP="000D40C6">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Many </w:t>
      </w:r>
      <w:r w:rsidR="00F01FB2" w:rsidRPr="00436442">
        <w:rPr>
          <w:rFonts w:ascii="Arial" w:hAnsi="Arial" w:cs="Arial"/>
          <w:sz w:val="23"/>
          <w:szCs w:val="23"/>
        </w:rPr>
        <w:t>c</w:t>
      </w:r>
      <w:r w:rsidRPr="00436442">
        <w:rPr>
          <w:rFonts w:ascii="Arial" w:hAnsi="Arial" w:cs="Arial"/>
          <w:sz w:val="23"/>
          <w:szCs w:val="23"/>
        </w:rPr>
        <w:t>ouncils questioned the current settlement income threshold assumption that there will be career progression over the five</w:t>
      </w:r>
      <w:r w:rsidR="00D00B75" w:rsidRPr="00436442">
        <w:rPr>
          <w:rFonts w:ascii="Arial" w:hAnsi="Arial" w:cs="Arial"/>
          <w:sz w:val="23"/>
          <w:szCs w:val="23"/>
        </w:rPr>
        <w:t>-</w:t>
      </w:r>
      <w:r w:rsidRPr="00436442">
        <w:rPr>
          <w:rFonts w:ascii="Arial" w:hAnsi="Arial" w:cs="Arial"/>
          <w:sz w:val="23"/>
          <w:szCs w:val="23"/>
        </w:rPr>
        <w:t>year period and that salaries will have increased by almost 20% for those individuals who only started at the minimum threshold of £30,000.</w:t>
      </w:r>
    </w:p>
    <w:p w14:paraId="4ECE9C30" w14:textId="77777777" w:rsidR="000D40C6" w:rsidRPr="00436442" w:rsidRDefault="000D40C6" w:rsidP="000D40C6">
      <w:pPr>
        <w:pStyle w:val="ListParagraph"/>
        <w:rPr>
          <w:rFonts w:ascii="Arial" w:hAnsi="Arial" w:cs="Arial"/>
          <w:sz w:val="23"/>
          <w:szCs w:val="23"/>
        </w:rPr>
      </w:pPr>
    </w:p>
    <w:p w14:paraId="7251D614" w14:textId="77777777" w:rsidR="00847029" w:rsidRPr="00436442" w:rsidRDefault="00D42B33" w:rsidP="00847029">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For example, i</w:t>
      </w:r>
      <w:r w:rsidR="00162F85" w:rsidRPr="00436442">
        <w:rPr>
          <w:rFonts w:ascii="Arial" w:hAnsi="Arial" w:cs="Arial"/>
          <w:sz w:val="23"/>
          <w:szCs w:val="23"/>
        </w:rPr>
        <w:t>n Glasgow average wages have not increased by 20% during the last five years and this is certainly true for the public sector</w:t>
      </w:r>
      <w:r w:rsidR="00410600" w:rsidRPr="00436442">
        <w:rPr>
          <w:rFonts w:ascii="Arial" w:hAnsi="Arial" w:cs="Arial"/>
          <w:sz w:val="23"/>
          <w:szCs w:val="23"/>
        </w:rPr>
        <w:t xml:space="preserve"> as a whole</w:t>
      </w:r>
      <w:r w:rsidR="00162F85" w:rsidRPr="00436442">
        <w:rPr>
          <w:rFonts w:ascii="Arial" w:hAnsi="Arial" w:cs="Arial"/>
          <w:sz w:val="23"/>
          <w:szCs w:val="23"/>
        </w:rPr>
        <w:t>.  Furthermore, of the 304,200 jobs surveyed in 2017 only 2.6% of those jobs earned on average a salary to meet the settlement threshold.</w:t>
      </w:r>
    </w:p>
    <w:p w14:paraId="488EAE55" w14:textId="77777777" w:rsidR="00847029" w:rsidRPr="00436442" w:rsidRDefault="00847029" w:rsidP="00847029">
      <w:pPr>
        <w:pStyle w:val="ListParagraph"/>
        <w:rPr>
          <w:rFonts w:ascii="Arial" w:hAnsi="Arial" w:cs="Arial"/>
          <w:sz w:val="23"/>
          <w:szCs w:val="23"/>
        </w:rPr>
      </w:pPr>
    </w:p>
    <w:p w14:paraId="6587EF39" w14:textId="76F81ED0" w:rsidR="000916D3" w:rsidRPr="00340860" w:rsidRDefault="00162F85" w:rsidP="00340860">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In Dumfries &amp; Galloway, 64% of positions in the Council are below £30k and that percentage is expected to increase as the Council continues to apply efficiencies. The number of positions within the Council which are above the £35,800 threshold is low.  Therefore, the opportunity for an individual to achieve this level is limited.</w:t>
      </w:r>
    </w:p>
    <w:p w14:paraId="022BDEB6" w14:textId="77777777" w:rsidR="00501FE0" w:rsidRPr="00436442" w:rsidRDefault="00501FE0" w:rsidP="00501FE0">
      <w:pPr>
        <w:pStyle w:val="ListParagraph"/>
        <w:rPr>
          <w:rFonts w:ascii="Arial" w:hAnsi="Arial" w:cs="Arial"/>
          <w:sz w:val="23"/>
          <w:szCs w:val="23"/>
        </w:rPr>
      </w:pPr>
    </w:p>
    <w:p w14:paraId="64531A4E" w14:textId="06FB78A3" w:rsidR="00F839ED" w:rsidRPr="00436442" w:rsidRDefault="00162F85" w:rsidP="00501FE0">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Many </w:t>
      </w:r>
      <w:r w:rsidR="00DF08B0" w:rsidRPr="00436442">
        <w:rPr>
          <w:rFonts w:ascii="Arial" w:hAnsi="Arial" w:cs="Arial"/>
          <w:sz w:val="23"/>
          <w:szCs w:val="23"/>
        </w:rPr>
        <w:t>c</w:t>
      </w:r>
      <w:r w:rsidRPr="00436442">
        <w:rPr>
          <w:rFonts w:ascii="Arial" w:hAnsi="Arial" w:cs="Arial"/>
          <w:sz w:val="23"/>
          <w:szCs w:val="23"/>
        </w:rPr>
        <w:t xml:space="preserve">ouncils felt </w:t>
      </w:r>
      <w:r w:rsidR="00DF08B0" w:rsidRPr="00436442">
        <w:rPr>
          <w:rFonts w:ascii="Arial" w:hAnsi="Arial" w:cs="Arial"/>
          <w:sz w:val="23"/>
          <w:szCs w:val="23"/>
        </w:rPr>
        <w:t xml:space="preserve">that </w:t>
      </w:r>
      <w:r w:rsidRPr="00436442">
        <w:rPr>
          <w:rFonts w:ascii="Arial" w:hAnsi="Arial" w:cs="Arial"/>
          <w:sz w:val="23"/>
          <w:szCs w:val="23"/>
        </w:rPr>
        <w:t xml:space="preserve">the IDL threshold is an arbitrary figure which is divorced from the realities of pay and progression increases and does not take account of the job holder’s success and contribution to the job that they are doing.  The responses </w:t>
      </w:r>
      <w:r w:rsidR="00D96AA2" w:rsidRPr="00436442">
        <w:rPr>
          <w:rFonts w:ascii="Arial" w:hAnsi="Arial" w:cs="Arial"/>
          <w:sz w:val="23"/>
          <w:szCs w:val="23"/>
        </w:rPr>
        <w:t xml:space="preserve">also </w:t>
      </w:r>
      <w:r w:rsidRPr="00436442">
        <w:rPr>
          <w:rFonts w:ascii="Arial" w:hAnsi="Arial" w:cs="Arial"/>
          <w:sz w:val="23"/>
          <w:szCs w:val="23"/>
        </w:rPr>
        <w:t xml:space="preserve">highlighted </w:t>
      </w:r>
      <w:r w:rsidR="00D96AA2" w:rsidRPr="00436442">
        <w:rPr>
          <w:rFonts w:ascii="Arial" w:hAnsi="Arial" w:cs="Arial"/>
          <w:sz w:val="23"/>
          <w:szCs w:val="23"/>
        </w:rPr>
        <w:t>that</w:t>
      </w:r>
      <w:r w:rsidRPr="00436442">
        <w:rPr>
          <w:rFonts w:ascii="Arial" w:hAnsi="Arial" w:cs="Arial"/>
          <w:sz w:val="23"/>
          <w:szCs w:val="23"/>
        </w:rPr>
        <w:t xml:space="preserve"> these thresholds can economically disadvantage rural Scotland i.e. severely restrict the numbers of those eligible to settle in rural areas, given the relatively low numbers of jobs which attract salaries at that level. </w:t>
      </w:r>
      <w:r w:rsidR="00A04AD0" w:rsidRPr="00436442">
        <w:rPr>
          <w:rFonts w:ascii="Arial" w:hAnsi="Arial" w:cs="Arial"/>
          <w:sz w:val="23"/>
          <w:szCs w:val="23"/>
        </w:rPr>
        <w:t xml:space="preserve"> </w:t>
      </w:r>
      <w:r w:rsidR="00D42B33" w:rsidRPr="00436442">
        <w:rPr>
          <w:rFonts w:ascii="Arial" w:hAnsi="Arial" w:cs="Arial"/>
          <w:sz w:val="23"/>
          <w:szCs w:val="23"/>
        </w:rPr>
        <w:t xml:space="preserve">This was also linked to the potential to </w:t>
      </w:r>
      <w:r w:rsidRPr="00436442">
        <w:rPr>
          <w:rFonts w:ascii="Arial" w:hAnsi="Arial" w:cs="Arial"/>
          <w:sz w:val="23"/>
          <w:szCs w:val="23"/>
        </w:rPr>
        <w:t>exacerbat</w:t>
      </w:r>
      <w:r w:rsidR="00D42B33" w:rsidRPr="00436442">
        <w:rPr>
          <w:rFonts w:ascii="Arial" w:hAnsi="Arial" w:cs="Arial"/>
          <w:sz w:val="23"/>
          <w:szCs w:val="23"/>
        </w:rPr>
        <w:t>e</w:t>
      </w:r>
      <w:r w:rsidRPr="00436442">
        <w:rPr>
          <w:rFonts w:ascii="Arial" w:hAnsi="Arial" w:cs="Arial"/>
          <w:sz w:val="23"/>
          <w:szCs w:val="23"/>
        </w:rPr>
        <w:t xml:space="preserve"> current trends towards ageing populations and depopulation, and would make it much more difficult for employers to attract workers.  </w:t>
      </w:r>
      <w:r w:rsidR="004A49EE" w:rsidRPr="00436442">
        <w:rPr>
          <w:rFonts w:ascii="Arial" w:hAnsi="Arial" w:cs="Arial"/>
          <w:sz w:val="23"/>
          <w:szCs w:val="23"/>
        </w:rPr>
        <w:t>The threshold may also have an equality impact in relation to age and gender</w:t>
      </w:r>
      <w:r w:rsidR="00F839ED" w:rsidRPr="00436442">
        <w:rPr>
          <w:rFonts w:ascii="Arial" w:hAnsi="Arial" w:cs="Arial"/>
          <w:sz w:val="23"/>
          <w:szCs w:val="23"/>
        </w:rPr>
        <w:t>.</w:t>
      </w:r>
    </w:p>
    <w:p w14:paraId="784FC773" w14:textId="77777777" w:rsidR="005133FF" w:rsidRPr="00436442" w:rsidRDefault="005133FF" w:rsidP="005133FF">
      <w:pPr>
        <w:pStyle w:val="NormalWeb"/>
        <w:spacing w:before="0" w:beforeAutospacing="0" w:after="0" w:afterAutospacing="0"/>
        <w:rPr>
          <w:rFonts w:ascii="Arial" w:hAnsi="Arial" w:cs="Arial"/>
          <w:sz w:val="23"/>
          <w:szCs w:val="23"/>
        </w:rPr>
      </w:pPr>
    </w:p>
    <w:p w14:paraId="2B2B0C15" w14:textId="3ED43DCF" w:rsidR="00F839ED" w:rsidRPr="00436442" w:rsidRDefault="00F839ED" w:rsidP="00F839ED">
      <w:pPr>
        <w:rPr>
          <w:rFonts w:ascii="Arial" w:eastAsia="Times New Roman" w:hAnsi="Arial" w:cs="Arial"/>
          <w:b/>
          <w:bCs/>
          <w:sz w:val="23"/>
          <w:szCs w:val="23"/>
          <w:lang w:eastAsia="en-GB"/>
        </w:rPr>
      </w:pPr>
      <w:r w:rsidRPr="00436442">
        <w:rPr>
          <w:rFonts w:ascii="Arial" w:eastAsia="Times New Roman" w:hAnsi="Arial" w:cs="Arial"/>
          <w:b/>
          <w:bCs/>
          <w:sz w:val="23"/>
          <w:szCs w:val="23"/>
          <w:lang w:eastAsia="en-GB"/>
        </w:rPr>
        <w:t>Characteristics to award points</w:t>
      </w:r>
    </w:p>
    <w:p w14:paraId="58F06B08" w14:textId="568D4230" w:rsidR="00F839ED" w:rsidRPr="00436442" w:rsidRDefault="00A17DD5" w:rsidP="00F839ED">
      <w:pPr>
        <w:pStyle w:val="NormalWeb"/>
        <w:numPr>
          <w:ilvl w:val="0"/>
          <w:numId w:val="2"/>
        </w:numPr>
        <w:rPr>
          <w:rFonts w:ascii="Arial" w:hAnsi="Arial" w:cs="Arial"/>
          <w:sz w:val="23"/>
          <w:szCs w:val="23"/>
        </w:rPr>
      </w:pPr>
      <w:r w:rsidRPr="00436442">
        <w:rPr>
          <w:rFonts w:ascii="Arial" w:hAnsi="Arial" w:cs="Arial"/>
          <w:sz w:val="23"/>
          <w:szCs w:val="23"/>
        </w:rPr>
        <w:t xml:space="preserve">All </w:t>
      </w:r>
      <w:r w:rsidR="007054A4" w:rsidRPr="00436442">
        <w:rPr>
          <w:rFonts w:ascii="Arial" w:hAnsi="Arial" w:cs="Arial"/>
          <w:sz w:val="23"/>
          <w:szCs w:val="23"/>
        </w:rPr>
        <w:t>c</w:t>
      </w:r>
      <w:r w:rsidRPr="00436442">
        <w:rPr>
          <w:rFonts w:ascii="Arial" w:hAnsi="Arial" w:cs="Arial"/>
          <w:sz w:val="23"/>
          <w:szCs w:val="23"/>
        </w:rPr>
        <w:t xml:space="preserve">ouncils stated that characteristics would be role dependent; therefore, allocating relative priority to each characteristic is potentially subjective and will vary depending </w:t>
      </w:r>
      <w:r w:rsidR="00D42B33" w:rsidRPr="00436442">
        <w:rPr>
          <w:rFonts w:ascii="Arial" w:hAnsi="Arial" w:cs="Arial"/>
          <w:sz w:val="23"/>
          <w:szCs w:val="23"/>
        </w:rPr>
        <w:t xml:space="preserve">on the </w:t>
      </w:r>
      <w:r w:rsidRPr="00436442">
        <w:rPr>
          <w:rFonts w:ascii="Arial" w:hAnsi="Arial" w:cs="Arial"/>
          <w:sz w:val="23"/>
          <w:szCs w:val="23"/>
        </w:rPr>
        <w:t xml:space="preserve">job role and skills / experience required to do the job. </w:t>
      </w:r>
    </w:p>
    <w:p w14:paraId="300236B6" w14:textId="555E9DD7" w:rsidR="00F839ED" w:rsidRPr="00436442" w:rsidRDefault="00F839ED" w:rsidP="00A936E9">
      <w:pPr>
        <w:keepNext/>
        <w:rPr>
          <w:rFonts w:ascii="Arial" w:eastAsia="Times New Roman" w:hAnsi="Arial" w:cs="Arial"/>
          <w:b/>
          <w:bCs/>
          <w:sz w:val="23"/>
          <w:szCs w:val="23"/>
          <w:lang w:eastAsia="en-GB"/>
        </w:rPr>
      </w:pPr>
      <w:r w:rsidRPr="00436442">
        <w:rPr>
          <w:rFonts w:ascii="Arial" w:eastAsia="Times New Roman" w:hAnsi="Arial" w:cs="Arial"/>
          <w:b/>
          <w:bCs/>
          <w:sz w:val="23"/>
          <w:szCs w:val="23"/>
          <w:lang w:eastAsia="en-GB"/>
        </w:rPr>
        <w:lastRenderedPageBreak/>
        <w:t xml:space="preserve">Points awarded based on population </w:t>
      </w:r>
      <w:r w:rsidR="006413AC">
        <w:rPr>
          <w:rFonts w:ascii="Arial" w:eastAsia="Times New Roman" w:hAnsi="Arial" w:cs="Arial"/>
          <w:b/>
          <w:bCs/>
          <w:sz w:val="23"/>
          <w:szCs w:val="23"/>
          <w:lang w:eastAsia="en-GB"/>
        </w:rPr>
        <w:t xml:space="preserve">and </w:t>
      </w:r>
      <w:r w:rsidR="00C47CC2">
        <w:rPr>
          <w:rFonts w:ascii="Arial" w:eastAsia="Times New Roman" w:hAnsi="Arial" w:cs="Arial"/>
          <w:b/>
          <w:bCs/>
          <w:sz w:val="23"/>
          <w:szCs w:val="23"/>
          <w:lang w:eastAsia="en-GB"/>
        </w:rPr>
        <w:t xml:space="preserve">demographic </w:t>
      </w:r>
      <w:r w:rsidRPr="00436442">
        <w:rPr>
          <w:rFonts w:ascii="Arial" w:eastAsia="Times New Roman" w:hAnsi="Arial" w:cs="Arial"/>
          <w:b/>
          <w:bCs/>
          <w:sz w:val="23"/>
          <w:szCs w:val="23"/>
          <w:lang w:eastAsia="en-GB"/>
        </w:rPr>
        <w:t>need</w:t>
      </w:r>
    </w:p>
    <w:p w14:paraId="073CE0D3" w14:textId="77777777" w:rsidR="00A46320" w:rsidRPr="00436442" w:rsidRDefault="00A46320" w:rsidP="00A936E9">
      <w:pPr>
        <w:pStyle w:val="NormalWeb"/>
        <w:keepNext/>
        <w:spacing w:before="0" w:beforeAutospacing="0" w:after="0" w:afterAutospacing="0"/>
        <w:ind w:left="357"/>
        <w:rPr>
          <w:rFonts w:ascii="Arial" w:hAnsi="Arial" w:cs="Arial"/>
          <w:sz w:val="23"/>
          <w:szCs w:val="23"/>
        </w:rPr>
      </w:pPr>
    </w:p>
    <w:p w14:paraId="0B738FD3" w14:textId="1B758A07" w:rsidR="00A46320" w:rsidRPr="00436442" w:rsidRDefault="00F10A0F" w:rsidP="00A936E9">
      <w:pPr>
        <w:pStyle w:val="NormalWeb"/>
        <w:keepNext/>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 xml:space="preserve">Many </w:t>
      </w:r>
      <w:r w:rsidR="007054A4" w:rsidRPr="00436442">
        <w:rPr>
          <w:rFonts w:ascii="Arial" w:hAnsi="Arial" w:cs="Arial"/>
          <w:sz w:val="23"/>
          <w:szCs w:val="23"/>
        </w:rPr>
        <w:t>c</w:t>
      </w:r>
      <w:r w:rsidRPr="00436442">
        <w:rPr>
          <w:rFonts w:ascii="Arial" w:hAnsi="Arial" w:cs="Arial"/>
          <w:sz w:val="23"/>
          <w:szCs w:val="23"/>
        </w:rPr>
        <w:t>ouncil</w:t>
      </w:r>
      <w:r w:rsidR="00D42B33" w:rsidRPr="00436442">
        <w:rPr>
          <w:rFonts w:ascii="Arial" w:hAnsi="Arial" w:cs="Arial"/>
          <w:sz w:val="23"/>
          <w:szCs w:val="23"/>
        </w:rPr>
        <w:t xml:space="preserve"> responses</w:t>
      </w:r>
      <w:r w:rsidRPr="00436442">
        <w:rPr>
          <w:rFonts w:ascii="Arial" w:hAnsi="Arial" w:cs="Arial"/>
          <w:sz w:val="23"/>
          <w:szCs w:val="23"/>
        </w:rPr>
        <w:t xml:space="preserve"> supported the position of awarding points based on parts of the country in need of increased population. </w:t>
      </w:r>
      <w:r w:rsidR="007156C2" w:rsidRPr="00436442">
        <w:rPr>
          <w:rFonts w:ascii="Arial" w:hAnsi="Arial" w:cs="Arial"/>
          <w:sz w:val="23"/>
          <w:szCs w:val="23"/>
        </w:rPr>
        <w:t xml:space="preserve"> </w:t>
      </w:r>
      <w:r w:rsidR="00F14BCE" w:rsidRPr="00436442">
        <w:rPr>
          <w:rFonts w:ascii="Arial" w:hAnsi="Arial" w:cs="Arial"/>
          <w:sz w:val="23"/>
          <w:szCs w:val="23"/>
        </w:rPr>
        <w:t xml:space="preserve">Some of </w:t>
      </w:r>
      <w:r w:rsidR="007156C2" w:rsidRPr="00436442">
        <w:rPr>
          <w:rFonts w:ascii="Arial" w:hAnsi="Arial" w:cs="Arial"/>
          <w:sz w:val="23"/>
          <w:szCs w:val="23"/>
        </w:rPr>
        <w:t>the</w:t>
      </w:r>
      <w:r w:rsidR="00F14BCE" w:rsidRPr="00436442">
        <w:rPr>
          <w:rFonts w:ascii="Arial" w:hAnsi="Arial" w:cs="Arial"/>
          <w:sz w:val="23"/>
          <w:szCs w:val="23"/>
        </w:rPr>
        <w:t xml:space="preserve"> responses </w:t>
      </w:r>
      <w:r w:rsidR="007156C2" w:rsidRPr="00436442">
        <w:rPr>
          <w:rFonts w:ascii="Arial" w:hAnsi="Arial" w:cs="Arial"/>
          <w:sz w:val="23"/>
          <w:szCs w:val="23"/>
        </w:rPr>
        <w:t>specificall</w:t>
      </w:r>
      <w:r w:rsidR="00A677CB" w:rsidRPr="00436442">
        <w:rPr>
          <w:rFonts w:ascii="Arial" w:hAnsi="Arial" w:cs="Arial"/>
          <w:sz w:val="23"/>
          <w:szCs w:val="23"/>
        </w:rPr>
        <w:t xml:space="preserve">y highlighted </w:t>
      </w:r>
      <w:r w:rsidR="00F14BCE" w:rsidRPr="00436442">
        <w:rPr>
          <w:rFonts w:ascii="Arial" w:hAnsi="Arial" w:cs="Arial"/>
          <w:sz w:val="23"/>
          <w:szCs w:val="23"/>
        </w:rPr>
        <w:t xml:space="preserve">the population and demographic challenges </w:t>
      </w:r>
      <w:r w:rsidR="00A677CB" w:rsidRPr="00436442">
        <w:rPr>
          <w:rFonts w:ascii="Arial" w:hAnsi="Arial" w:cs="Arial"/>
          <w:sz w:val="23"/>
          <w:szCs w:val="23"/>
        </w:rPr>
        <w:t xml:space="preserve">that </w:t>
      </w:r>
      <w:r w:rsidR="00F14BCE" w:rsidRPr="00436442">
        <w:rPr>
          <w:rFonts w:ascii="Arial" w:hAnsi="Arial" w:cs="Arial"/>
          <w:sz w:val="23"/>
          <w:szCs w:val="23"/>
        </w:rPr>
        <w:t>they are facing.</w:t>
      </w:r>
      <w:r w:rsidR="00A677CB" w:rsidRPr="00436442">
        <w:rPr>
          <w:rFonts w:ascii="Arial" w:hAnsi="Arial" w:cs="Arial"/>
          <w:sz w:val="23"/>
          <w:szCs w:val="23"/>
        </w:rPr>
        <w:t xml:space="preserve">  </w:t>
      </w:r>
      <w:r w:rsidR="00F14BCE" w:rsidRPr="00436442">
        <w:rPr>
          <w:rFonts w:ascii="Arial" w:hAnsi="Arial" w:cs="Arial"/>
          <w:sz w:val="23"/>
          <w:szCs w:val="23"/>
        </w:rPr>
        <w:t xml:space="preserve">For example, </w:t>
      </w:r>
      <w:r w:rsidR="000930DB" w:rsidRPr="00436442">
        <w:rPr>
          <w:rFonts w:ascii="Arial" w:hAnsi="Arial" w:cs="Arial"/>
          <w:sz w:val="23"/>
          <w:szCs w:val="23"/>
        </w:rPr>
        <w:t xml:space="preserve">North Ayrshire is one of eight </w:t>
      </w:r>
      <w:r w:rsidR="00A352C5" w:rsidRPr="00436442">
        <w:rPr>
          <w:rFonts w:ascii="Arial" w:hAnsi="Arial" w:cs="Arial"/>
          <w:sz w:val="23"/>
          <w:szCs w:val="23"/>
        </w:rPr>
        <w:t>l</w:t>
      </w:r>
      <w:r w:rsidR="000930DB" w:rsidRPr="00436442">
        <w:rPr>
          <w:rFonts w:ascii="Arial" w:hAnsi="Arial" w:cs="Arial"/>
          <w:sz w:val="23"/>
          <w:szCs w:val="23"/>
        </w:rPr>
        <w:t xml:space="preserve">ocal </w:t>
      </w:r>
      <w:r w:rsidR="00A352C5" w:rsidRPr="00436442">
        <w:rPr>
          <w:rFonts w:ascii="Arial" w:hAnsi="Arial" w:cs="Arial"/>
          <w:sz w:val="23"/>
          <w:szCs w:val="23"/>
        </w:rPr>
        <w:t>a</w:t>
      </w:r>
      <w:r w:rsidR="000930DB" w:rsidRPr="00436442">
        <w:rPr>
          <w:rFonts w:ascii="Arial" w:hAnsi="Arial" w:cs="Arial"/>
          <w:sz w:val="23"/>
          <w:szCs w:val="23"/>
        </w:rPr>
        <w:t>uthorities</w:t>
      </w:r>
      <w:r w:rsidR="00815500" w:rsidRPr="00436442">
        <w:rPr>
          <w:rFonts w:ascii="Arial" w:hAnsi="Arial" w:cs="Arial"/>
          <w:sz w:val="23"/>
          <w:szCs w:val="23"/>
        </w:rPr>
        <w:t xml:space="preserve"> (all of which are located in the West of Scotland)</w:t>
      </w:r>
      <w:r w:rsidR="000930DB" w:rsidRPr="00436442">
        <w:rPr>
          <w:rFonts w:ascii="Arial" w:hAnsi="Arial" w:cs="Arial"/>
          <w:sz w:val="23"/>
          <w:szCs w:val="23"/>
        </w:rPr>
        <w:t xml:space="preserve"> anticipated to see population decline 2016-2026. </w:t>
      </w:r>
      <w:r w:rsidR="00411447" w:rsidRPr="00436442">
        <w:rPr>
          <w:rFonts w:ascii="Arial" w:hAnsi="Arial" w:cs="Arial"/>
          <w:sz w:val="23"/>
          <w:szCs w:val="23"/>
        </w:rPr>
        <w:t xml:space="preserve"> </w:t>
      </w:r>
      <w:r w:rsidR="000930DB" w:rsidRPr="00436442">
        <w:rPr>
          <w:rFonts w:ascii="Arial" w:hAnsi="Arial" w:cs="Arial"/>
          <w:sz w:val="23"/>
          <w:szCs w:val="23"/>
        </w:rPr>
        <w:t>N</w:t>
      </w:r>
      <w:r w:rsidR="00411447" w:rsidRPr="00436442">
        <w:rPr>
          <w:rFonts w:ascii="Arial" w:hAnsi="Arial" w:cs="Arial"/>
          <w:sz w:val="23"/>
          <w:szCs w:val="23"/>
        </w:rPr>
        <w:t xml:space="preserve">orth </w:t>
      </w:r>
      <w:r w:rsidR="000930DB" w:rsidRPr="00436442">
        <w:rPr>
          <w:rFonts w:ascii="Arial" w:hAnsi="Arial" w:cs="Arial"/>
          <w:sz w:val="23"/>
          <w:szCs w:val="23"/>
        </w:rPr>
        <w:t>A</w:t>
      </w:r>
      <w:r w:rsidR="00411447" w:rsidRPr="00436442">
        <w:rPr>
          <w:rFonts w:ascii="Arial" w:hAnsi="Arial" w:cs="Arial"/>
          <w:sz w:val="23"/>
          <w:szCs w:val="23"/>
        </w:rPr>
        <w:t>yrshire</w:t>
      </w:r>
      <w:r w:rsidR="000930DB" w:rsidRPr="00436442">
        <w:rPr>
          <w:rFonts w:ascii="Arial" w:hAnsi="Arial" w:cs="Arial"/>
          <w:sz w:val="23"/>
          <w:szCs w:val="23"/>
        </w:rPr>
        <w:t xml:space="preserve"> is also one of 11 </w:t>
      </w:r>
      <w:r w:rsidR="00A85D57" w:rsidRPr="00436442">
        <w:rPr>
          <w:rFonts w:ascii="Arial" w:hAnsi="Arial" w:cs="Arial"/>
          <w:sz w:val="23"/>
          <w:szCs w:val="23"/>
        </w:rPr>
        <w:t>l</w:t>
      </w:r>
      <w:r w:rsidR="000930DB" w:rsidRPr="00436442">
        <w:rPr>
          <w:rFonts w:ascii="Arial" w:hAnsi="Arial" w:cs="Arial"/>
          <w:sz w:val="23"/>
          <w:szCs w:val="23"/>
        </w:rPr>
        <w:t xml:space="preserve">ocal </w:t>
      </w:r>
      <w:r w:rsidR="00A85D57" w:rsidRPr="00436442">
        <w:rPr>
          <w:rFonts w:ascii="Arial" w:hAnsi="Arial" w:cs="Arial"/>
          <w:sz w:val="23"/>
          <w:szCs w:val="23"/>
        </w:rPr>
        <w:t>a</w:t>
      </w:r>
      <w:r w:rsidR="000930DB" w:rsidRPr="00436442">
        <w:rPr>
          <w:rFonts w:ascii="Arial" w:hAnsi="Arial" w:cs="Arial"/>
          <w:sz w:val="23"/>
          <w:szCs w:val="23"/>
        </w:rPr>
        <w:t>uthorities expected to experience population decline by 2041</w:t>
      </w:r>
      <w:r w:rsidR="0036022A" w:rsidRPr="00436442">
        <w:rPr>
          <w:rFonts w:ascii="Arial" w:hAnsi="Arial" w:cs="Arial"/>
          <w:sz w:val="23"/>
          <w:szCs w:val="23"/>
        </w:rPr>
        <w:t>; indeed, it</w:t>
      </w:r>
      <w:r w:rsidR="000930DB" w:rsidRPr="00436442">
        <w:rPr>
          <w:rFonts w:ascii="Arial" w:hAnsi="Arial" w:cs="Arial"/>
          <w:sz w:val="23"/>
          <w:szCs w:val="23"/>
        </w:rPr>
        <w:t xml:space="preserve"> is expected to see a 2.1% decrease by 2026 (the fourth highest rate</w:t>
      </w:r>
      <w:r w:rsidR="0039488B" w:rsidRPr="00436442">
        <w:rPr>
          <w:rFonts w:ascii="Arial" w:hAnsi="Arial" w:cs="Arial"/>
          <w:sz w:val="23"/>
          <w:szCs w:val="23"/>
        </w:rPr>
        <w:t xml:space="preserve"> of decline</w:t>
      </w:r>
      <w:r w:rsidR="000930DB" w:rsidRPr="00436442">
        <w:rPr>
          <w:rFonts w:ascii="Arial" w:hAnsi="Arial" w:cs="Arial"/>
          <w:sz w:val="23"/>
          <w:szCs w:val="23"/>
        </w:rPr>
        <w:t xml:space="preserve">, behind Western </w:t>
      </w:r>
      <w:r w:rsidR="0039488B" w:rsidRPr="00436442">
        <w:rPr>
          <w:rFonts w:ascii="Arial" w:hAnsi="Arial" w:cs="Arial"/>
          <w:sz w:val="23"/>
          <w:szCs w:val="23"/>
        </w:rPr>
        <w:t>I</w:t>
      </w:r>
      <w:r w:rsidR="000930DB" w:rsidRPr="00436442">
        <w:rPr>
          <w:rFonts w:ascii="Arial" w:hAnsi="Arial" w:cs="Arial"/>
          <w:sz w:val="23"/>
          <w:szCs w:val="23"/>
        </w:rPr>
        <w:t>sles, Inverclyde and Argyll and Bute</w:t>
      </w:r>
      <w:r w:rsidR="0039488B" w:rsidRPr="00436442">
        <w:rPr>
          <w:rFonts w:ascii="Arial" w:hAnsi="Arial" w:cs="Arial"/>
          <w:sz w:val="23"/>
          <w:szCs w:val="23"/>
        </w:rPr>
        <w:t>).</w:t>
      </w:r>
    </w:p>
    <w:p w14:paraId="47A2DFC7" w14:textId="77777777" w:rsidR="00A46320" w:rsidRPr="00436442" w:rsidRDefault="00A46320" w:rsidP="00A46320">
      <w:pPr>
        <w:pStyle w:val="NormalWeb"/>
        <w:spacing w:before="0" w:beforeAutospacing="0" w:after="0" w:afterAutospacing="0"/>
        <w:ind w:left="357"/>
        <w:rPr>
          <w:rFonts w:ascii="Arial" w:hAnsi="Arial" w:cs="Arial"/>
          <w:sz w:val="23"/>
          <w:szCs w:val="23"/>
        </w:rPr>
      </w:pPr>
    </w:p>
    <w:p w14:paraId="001B0629" w14:textId="59711075" w:rsidR="00F839ED" w:rsidRPr="00436442" w:rsidRDefault="000930DB" w:rsidP="00A46320">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Anticipated population decline clearly has an impact on regional economic inequality</w:t>
      </w:r>
      <w:r w:rsidR="00BB4DFD" w:rsidRPr="00436442">
        <w:rPr>
          <w:rFonts w:ascii="Arial" w:hAnsi="Arial" w:cs="Arial"/>
          <w:sz w:val="23"/>
          <w:szCs w:val="23"/>
        </w:rPr>
        <w:t>.  I</w:t>
      </w:r>
      <w:r w:rsidRPr="00436442">
        <w:rPr>
          <w:rFonts w:ascii="Arial" w:hAnsi="Arial" w:cs="Arial"/>
          <w:sz w:val="23"/>
          <w:szCs w:val="23"/>
        </w:rPr>
        <w:t>ndeed</w:t>
      </w:r>
      <w:r w:rsidR="00BB4DFD" w:rsidRPr="00436442">
        <w:rPr>
          <w:rFonts w:ascii="Arial" w:hAnsi="Arial" w:cs="Arial"/>
          <w:sz w:val="23"/>
          <w:szCs w:val="23"/>
        </w:rPr>
        <w:t>,</w:t>
      </w:r>
      <w:r w:rsidRPr="00436442">
        <w:rPr>
          <w:rFonts w:ascii="Arial" w:hAnsi="Arial" w:cs="Arial"/>
          <w:sz w:val="23"/>
          <w:szCs w:val="23"/>
        </w:rPr>
        <w:t xml:space="preserve"> population decline </w:t>
      </w:r>
      <w:r w:rsidR="00A46320" w:rsidRPr="00436442">
        <w:rPr>
          <w:rFonts w:ascii="Arial" w:hAnsi="Arial" w:cs="Arial"/>
          <w:sz w:val="23"/>
          <w:szCs w:val="23"/>
        </w:rPr>
        <w:t>has been</w:t>
      </w:r>
      <w:r w:rsidRPr="00436442">
        <w:rPr>
          <w:rFonts w:ascii="Arial" w:hAnsi="Arial" w:cs="Arial"/>
          <w:sz w:val="23"/>
          <w:szCs w:val="23"/>
        </w:rPr>
        <w:t xml:space="preserve"> recognised as a barrier to achieving inclusive growth by the North Ayrshire inclusive growth diagnostic. </w:t>
      </w:r>
      <w:r w:rsidR="006F181D" w:rsidRPr="00436442">
        <w:rPr>
          <w:rFonts w:ascii="Arial" w:hAnsi="Arial" w:cs="Arial"/>
          <w:sz w:val="23"/>
          <w:szCs w:val="23"/>
        </w:rPr>
        <w:t xml:space="preserve"> </w:t>
      </w:r>
      <w:r w:rsidRPr="00436442">
        <w:rPr>
          <w:rFonts w:ascii="Arial" w:hAnsi="Arial" w:cs="Arial"/>
          <w:sz w:val="23"/>
          <w:szCs w:val="23"/>
        </w:rPr>
        <w:t xml:space="preserve">For North Ayrshire, the proportion of </w:t>
      </w:r>
      <w:r w:rsidR="00C92998" w:rsidRPr="00436442">
        <w:rPr>
          <w:rFonts w:ascii="Arial" w:hAnsi="Arial" w:cs="Arial"/>
          <w:sz w:val="23"/>
          <w:szCs w:val="23"/>
        </w:rPr>
        <w:t xml:space="preserve">the </w:t>
      </w:r>
      <w:r w:rsidRPr="00436442">
        <w:rPr>
          <w:rFonts w:ascii="Arial" w:hAnsi="Arial" w:cs="Arial"/>
          <w:sz w:val="23"/>
          <w:szCs w:val="23"/>
        </w:rPr>
        <w:t>working age population</w:t>
      </w:r>
      <w:r w:rsidR="00C92998" w:rsidRPr="00436442">
        <w:rPr>
          <w:rFonts w:ascii="Arial" w:hAnsi="Arial" w:cs="Arial"/>
          <w:sz w:val="23"/>
          <w:szCs w:val="23"/>
        </w:rPr>
        <w:t xml:space="preserve"> is</w:t>
      </w:r>
      <w:r w:rsidRPr="00436442">
        <w:rPr>
          <w:rFonts w:ascii="Arial" w:hAnsi="Arial" w:cs="Arial"/>
          <w:sz w:val="23"/>
          <w:szCs w:val="23"/>
        </w:rPr>
        <w:t xml:space="preserve"> projected to decline in relation to the growth of retirement age residents. </w:t>
      </w:r>
      <w:r w:rsidR="00520707" w:rsidRPr="00436442">
        <w:rPr>
          <w:rFonts w:ascii="Arial" w:hAnsi="Arial" w:cs="Arial"/>
          <w:sz w:val="23"/>
          <w:szCs w:val="23"/>
        </w:rPr>
        <w:t xml:space="preserve"> </w:t>
      </w:r>
      <w:r w:rsidRPr="00436442">
        <w:rPr>
          <w:rFonts w:ascii="Arial" w:hAnsi="Arial" w:cs="Arial"/>
          <w:sz w:val="23"/>
          <w:szCs w:val="23"/>
        </w:rPr>
        <w:t>This creates additional pressures in relation to key cross sectoral workforce shortages in areas such as education and care services.</w:t>
      </w:r>
    </w:p>
    <w:p w14:paraId="61914BD1" w14:textId="77777777" w:rsidR="00520707" w:rsidRPr="00436442" w:rsidRDefault="00520707" w:rsidP="00520707">
      <w:pPr>
        <w:pStyle w:val="NormalWeb"/>
        <w:spacing w:before="0" w:beforeAutospacing="0" w:after="0" w:afterAutospacing="0"/>
        <w:rPr>
          <w:rFonts w:ascii="Arial" w:hAnsi="Arial" w:cs="Arial"/>
          <w:sz w:val="23"/>
          <w:szCs w:val="23"/>
        </w:rPr>
      </w:pPr>
    </w:p>
    <w:p w14:paraId="0B143558" w14:textId="0906EF83" w:rsidR="00A3595D" w:rsidRPr="00436442" w:rsidRDefault="000930DB" w:rsidP="00A3595D">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Brexit and the uncertainty regarding arrangements for future movement of people ha</w:t>
      </w:r>
      <w:r w:rsidR="00CC3C3B" w:rsidRPr="00436442">
        <w:rPr>
          <w:rFonts w:ascii="Arial" w:hAnsi="Arial" w:cs="Arial"/>
          <w:sz w:val="23"/>
          <w:szCs w:val="23"/>
        </w:rPr>
        <w:t>ve</w:t>
      </w:r>
      <w:r w:rsidRPr="00436442">
        <w:rPr>
          <w:rFonts w:ascii="Arial" w:hAnsi="Arial" w:cs="Arial"/>
          <w:sz w:val="23"/>
          <w:szCs w:val="23"/>
        </w:rPr>
        <w:t xml:space="preserve"> implications for current </w:t>
      </w:r>
      <w:r w:rsidR="00BB2FEB" w:rsidRPr="00436442">
        <w:rPr>
          <w:rFonts w:ascii="Arial" w:hAnsi="Arial" w:cs="Arial"/>
          <w:sz w:val="23"/>
          <w:szCs w:val="23"/>
        </w:rPr>
        <w:t xml:space="preserve">council area </w:t>
      </w:r>
      <w:r w:rsidRPr="00436442">
        <w:rPr>
          <w:rFonts w:ascii="Arial" w:hAnsi="Arial" w:cs="Arial"/>
          <w:sz w:val="23"/>
          <w:szCs w:val="23"/>
        </w:rPr>
        <w:t>population</w:t>
      </w:r>
      <w:r w:rsidR="00140DE4" w:rsidRPr="00436442">
        <w:rPr>
          <w:rFonts w:ascii="Arial" w:hAnsi="Arial" w:cs="Arial"/>
          <w:sz w:val="23"/>
          <w:szCs w:val="23"/>
        </w:rPr>
        <w:t>s too</w:t>
      </w:r>
      <w:r w:rsidR="000113AF" w:rsidRPr="00436442">
        <w:rPr>
          <w:rFonts w:ascii="Arial" w:hAnsi="Arial" w:cs="Arial"/>
          <w:sz w:val="23"/>
          <w:szCs w:val="23"/>
        </w:rPr>
        <w:t xml:space="preserve">.  Using the example of North Ayrshire again, </w:t>
      </w:r>
      <w:r w:rsidRPr="00436442">
        <w:rPr>
          <w:rFonts w:ascii="Arial" w:hAnsi="Arial" w:cs="Arial"/>
          <w:sz w:val="23"/>
          <w:szCs w:val="23"/>
        </w:rPr>
        <w:t xml:space="preserve">2,000 EU-born people live in </w:t>
      </w:r>
      <w:r w:rsidR="000113AF" w:rsidRPr="00436442">
        <w:rPr>
          <w:rFonts w:ascii="Arial" w:hAnsi="Arial" w:cs="Arial"/>
          <w:sz w:val="23"/>
          <w:szCs w:val="23"/>
        </w:rPr>
        <w:t>the council area</w:t>
      </w:r>
      <w:r w:rsidRPr="00436442">
        <w:rPr>
          <w:rFonts w:ascii="Arial" w:hAnsi="Arial" w:cs="Arial"/>
          <w:sz w:val="23"/>
          <w:szCs w:val="23"/>
        </w:rPr>
        <w:t xml:space="preserve">. </w:t>
      </w:r>
      <w:r w:rsidR="000113AF" w:rsidRPr="00436442">
        <w:rPr>
          <w:rFonts w:ascii="Arial" w:hAnsi="Arial" w:cs="Arial"/>
          <w:sz w:val="23"/>
          <w:szCs w:val="23"/>
        </w:rPr>
        <w:t xml:space="preserve"> The </w:t>
      </w:r>
      <w:r w:rsidR="00B36F92" w:rsidRPr="00436442">
        <w:rPr>
          <w:rFonts w:ascii="Arial" w:hAnsi="Arial" w:cs="Arial"/>
          <w:sz w:val="23"/>
          <w:szCs w:val="23"/>
        </w:rPr>
        <w:t>C</w:t>
      </w:r>
      <w:r w:rsidRPr="00436442">
        <w:rPr>
          <w:rFonts w:ascii="Arial" w:hAnsi="Arial" w:cs="Arial"/>
          <w:sz w:val="23"/>
          <w:szCs w:val="23"/>
        </w:rPr>
        <w:t xml:space="preserve">ouncil stated in </w:t>
      </w:r>
      <w:r w:rsidR="00BC43F1" w:rsidRPr="00436442">
        <w:rPr>
          <w:rFonts w:ascii="Arial" w:hAnsi="Arial" w:cs="Arial"/>
          <w:sz w:val="23"/>
          <w:szCs w:val="23"/>
        </w:rPr>
        <w:t>its</w:t>
      </w:r>
      <w:r w:rsidRPr="00436442">
        <w:rPr>
          <w:rFonts w:ascii="Arial" w:hAnsi="Arial" w:cs="Arial"/>
          <w:sz w:val="23"/>
          <w:szCs w:val="23"/>
        </w:rPr>
        <w:t xml:space="preserve"> contribution to a previous COSLA response to the MAC that the issue of immigration is critical to the Council’s aim of reversing the projected population fall. </w:t>
      </w:r>
      <w:r w:rsidR="00BC43F1" w:rsidRPr="00436442">
        <w:rPr>
          <w:rFonts w:ascii="Arial" w:hAnsi="Arial" w:cs="Arial"/>
          <w:sz w:val="23"/>
          <w:szCs w:val="23"/>
        </w:rPr>
        <w:t xml:space="preserve"> </w:t>
      </w:r>
      <w:r w:rsidRPr="00436442">
        <w:rPr>
          <w:rFonts w:ascii="Arial" w:hAnsi="Arial" w:cs="Arial"/>
          <w:sz w:val="23"/>
          <w:szCs w:val="23"/>
        </w:rPr>
        <w:t>In addition to this, a recent publication by Scottish Government outlining a Brexit Vulnerabilities Index uses a measure where 3 out of the 8 variables used are migration/population based (share of the population of working age, population change and EU worker migration)</w:t>
      </w:r>
      <w:r w:rsidR="00BD4768" w:rsidRPr="00436442">
        <w:rPr>
          <w:rFonts w:ascii="Arial" w:hAnsi="Arial" w:cs="Arial"/>
          <w:sz w:val="23"/>
          <w:szCs w:val="23"/>
        </w:rPr>
        <w:t>,</w:t>
      </w:r>
      <w:r w:rsidRPr="00436442">
        <w:rPr>
          <w:rFonts w:ascii="Arial" w:hAnsi="Arial" w:cs="Arial"/>
          <w:sz w:val="23"/>
          <w:szCs w:val="23"/>
        </w:rPr>
        <w:t xml:space="preserve"> highlighting the significance of this issue for local areas</w:t>
      </w:r>
      <w:r w:rsidR="00BD4768" w:rsidRPr="00436442">
        <w:rPr>
          <w:rFonts w:ascii="Arial" w:hAnsi="Arial" w:cs="Arial"/>
          <w:sz w:val="23"/>
          <w:szCs w:val="23"/>
        </w:rPr>
        <w:t xml:space="preserve"> and Scotland as a whole</w:t>
      </w:r>
      <w:r w:rsidRPr="00436442">
        <w:rPr>
          <w:rFonts w:ascii="Arial" w:hAnsi="Arial" w:cs="Arial"/>
          <w:sz w:val="23"/>
          <w:szCs w:val="23"/>
        </w:rPr>
        <w:t>.</w:t>
      </w:r>
    </w:p>
    <w:p w14:paraId="62560910" w14:textId="77777777" w:rsidR="00D5179D" w:rsidRPr="00436442" w:rsidRDefault="00D5179D" w:rsidP="00D5179D">
      <w:pPr>
        <w:pStyle w:val="NormalWeb"/>
        <w:spacing w:before="0" w:beforeAutospacing="0" w:after="0" w:afterAutospacing="0"/>
        <w:ind w:left="357"/>
        <w:rPr>
          <w:rFonts w:ascii="Arial" w:hAnsi="Arial" w:cs="Arial"/>
          <w:sz w:val="23"/>
          <w:szCs w:val="23"/>
        </w:rPr>
      </w:pPr>
    </w:p>
    <w:p w14:paraId="1301BE0F" w14:textId="13FCBFC8" w:rsidR="009A183A" w:rsidRPr="00436442" w:rsidRDefault="000930DB" w:rsidP="009A183A">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 xml:space="preserve">In Highland, </w:t>
      </w:r>
      <w:r w:rsidR="00F14BCE" w:rsidRPr="00436442">
        <w:rPr>
          <w:rFonts w:ascii="Arial" w:hAnsi="Arial" w:cs="Arial"/>
          <w:sz w:val="23"/>
          <w:szCs w:val="23"/>
        </w:rPr>
        <w:t xml:space="preserve">following decades of population decline from the mid-1800s, the population of Highland began to recover in recent decades. </w:t>
      </w:r>
      <w:r w:rsidR="000A262E" w:rsidRPr="00436442">
        <w:rPr>
          <w:rFonts w:ascii="Arial" w:hAnsi="Arial" w:cs="Arial"/>
          <w:sz w:val="23"/>
          <w:szCs w:val="23"/>
        </w:rPr>
        <w:t xml:space="preserve"> </w:t>
      </w:r>
      <w:r w:rsidR="00F14BCE" w:rsidRPr="00436442">
        <w:rPr>
          <w:rFonts w:ascii="Arial" w:hAnsi="Arial" w:cs="Arial"/>
          <w:sz w:val="23"/>
          <w:szCs w:val="23"/>
        </w:rPr>
        <w:t xml:space="preserve">The mid-year estimate for 2018 from the National Records of Scotland (NRS) shows a Highland population of 235,540 – an increase of 12.8% in the 20 years from 1998. </w:t>
      </w:r>
      <w:r w:rsidR="000A262E" w:rsidRPr="00436442">
        <w:rPr>
          <w:rFonts w:ascii="Arial" w:hAnsi="Arial" w:cs="Arial"/>
          <w:sz w:val="23"/>
          <w:szCs w:val="23"/>
        </w:rPr>
        <w:t xml:space="preserve"> </w:t>
      </w:r>
      <w:r w:rsidR="00F14BCE" w:rsidRPr="00436442">
        <w:rPr>
          <w:rFonts w:ascii="Arial" w:hAnsi="Arial" w:cs="Arial"/>
          <w:sz w:val="23"/>
          <w:szCs w:val="23"/>
        </w:rPr>
        <w:t>However, over the same period</w:t>
      </w:r>
      <w:r w:rsidR="000A262E" w:rsidRPr="00436442">
        <w:rPr>
          <w:rFonts w:ascii="Arial" w:hAnsi="Arial" w:cs="Arial"/>
          <w:sz w:val="23"/>
          <w:szCs w:val="23"/>
        </w:rPr>
        <w:t>,</w:t>
      </w:r>
      <w:r w:rsidR="00F14BCE" w:rsidRPr="00436442">
        <w:rPr>
          <w:rFonts w:ascii="Arial" w:hAnsi="Arial" w:cs="Arial"/>
          <w:sz w:val="23"/>
          <w:szCs w:val="23"/>
        </w:rPr>
        <w:t xml:space="preserve"> the natural rate of population change showed a decline with deaths exceeding births by 3,410. </w:t>
      </w:r>
      <w:r w:rsidR="00B313BA" w:rsidRPr="00436442">
        <w:rPr>
          <w:rFonts w:ascii="Arial" w:hAnsi="Arial" w:cs="Arial"/>
          <w:sz w:val="23"/>
          <w:szCs w:val="23"/>
        </w:rPr>
        <w:t xml:space="preserve"> </w:t>
      </w:r>
      <w:r w:rsidR="00F14BCE" w:rsidRPr="00436442">
        <w:rPr>
          <w:rFonts w:ascii="Arial" w:hAnsi="Arial" w:cs="Arial"/>
          <w:sz w:val="23"/>
          <w:szCs w:val="23"/>
        </w:rPr>
        <w:t xml:space="preserve">Without the population growth from inward migration the area would have seen a decline in population of -1.6% since 1998. </w:t>
      </w:r>
      <w:r w:rsidR="00B313BA" w:rsidRPr="00436442">
        <w:rPr>
          <w:rFonts w:ascii="Arial" w:hAnsi="Arial" w:cs="Arial"/>
          <w:sz w:val="23"/>
          <w:szCs w:val="23"/>
        </w:rPr>
        <w:t xml:space="preserve"> </w:t>
      </w:r>
      <w:r w:rsidR="00F14BCE" w:rsidRPr="00436442">
        <w:rPr>
          <w:rFonts w:ascii="Arial" w:hAnsi="Arial" w:cs="Arial"/>
          <w:sz w:val="23"/>
          <w:szCs w:val="23"/>
        </w:rPr>
        <w:t xml:space="preserve">Over the next 10 years, the population of Highland is projected by NRS to decrease by 1.2% due to natural change i.e. an accelerated rate of decline when compared with the 1.6% decline over the last 20 years. </w:t>
      </w:r>
      <w:r w:rsidR="00346258" w:rsidRPr="00436442">
        <w:rPr>
          <w:rFonts w:ascii="Arial" w:hAnsi="Arial" w:cs="Arial"/>
          <w:sz w:val="23"/>
          <w:szCs w:val="23"/>
        </w:rPr>
        <w:t xml:space="preserve"> </w:t>
      </w:r>
      <w:r w:rsidR="00F14BCE" w:rsidRPr="00436442">
        <w:rPr>
          <w:rFonts w:ascii="Arial" w:hAnsi="Arial" w:cs="Arial"/>
          <w:sz w:val="23"/>
          <w:szCs w:val="23"/>
        </w:rPr>
        <w:t xml:space="preserve">Continued inward migration is therefore </w:t>
      </w:r>
      <w:r w:rsidR="00BD1E28" w:rsidRPr="00436442">
        <w:rPr>
          <w:rFonts w:ascii="Arial" w:hAnsi="Arial" w:cs="Arial"/>
          <w:sz w:val="23"/>
          <w:szCs w:val="23"/>
        </w:rPr>
        <w:t xml:space="preserve">an </w:t>
      </w:r>
      <w:r w:rsidR="00F14BCE" w:rsidRPr="00436442">
        <w:rPr>
          <w:rFonts w:ascii="Arial" w:hAnsi="Arial" w:cs="Arial"/>
          <w:sz w:val="23"/>
          <w:szCs w:val="23"/>
        </w:rPr>
        <w:t>essential</w:t>
      </w:r>
      <w:r w:rsidR="00BD1E28" w:rsidRPr="00436442">
        <w:rPr>
          <w:rFonts w:ascii="Arial" w:hAnsi="Arial" w:cs="Arial"/>
          <w:sz w:val="23"/>
          <w:szCs w:val="23"/>
        </w:rPr>
        <w:t xml:space="preserve"> means of offsetting the decline</w:t>
      </w:r>
      <w:r w:rsidR="00D1623C" w:rsidRPr="00436442">
        <w:rPr>
          <w:rFonts w:ascii="Arial" w:hAnsi="Arial" w:cs="Arial"/>
          <w:sz w:val="23"/>
          <w:szCs w:val="23"/>
        </w:rPr>
        <w:t xml:space="preserve"> in</w:t>
      </w:r>
      <w:r w:rsidR="00F14BCE" w:rsidRPr="00436442">
        <w:rPr>
          <w:rFonts w:ascii="Arial" w:hAnsi="Arial" w:cs="Arial"/>
          <w:sz w:val="23"/>
          <w:szCs w:val="23"/>
        </w:rPr>
        <w:t xml:space="preserve"> the Highlands.</w:t>
      </w:r>
    </w:p>
    <w:p w14:paraId="2289E71A" w14:textId="77777777" w:rsidR="009A183A" w:rsidRPr="00436442" w:rsidRDefault="009A183A" w:rsidP="009A183A">
      <w:pPr>
        <w:pStyle w:val="NormalWeb"/>
        <w:spacing w:before="0" w:beforeAutospacing="0" w:after="0" w:afterAutospacing="0"/>
        <w:ind w:left="357"/>
        <w:rPr>
          <w:rFonts w:ascii="Arial" w:hAnsi="Arial" w:cs="Arial"/>
          <w:sz w:val="23"/>
          <w:szCs w:val="23"/>
        </w:rPr>
      </w:pPr>
    </w:p>
    <w:p w14:paraId="57A6469A" w14:textId="2A317D26" w:rsidR="008A455C" w:rsidRPr="00436442" w:rsidRDefault="000930DB" w:rsidP="009A183A">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 xml:space="preserve">Highland </w:t>
      </w:r>
      <w:r w:rsidR="00ED45BE" w:rsidRPr="00436442">
        <w:rPr>
          <w:rFonts w:ascii="Arial" w:hAnsi="Arial" w:cs="Arial"/>
          <w:sz w:val="23"/>
          <w:szCs w:val="23"/>
        </w:rPr>
        <w:t xml:space="preserve">Council </w:t>
      </w:r>
      <w:r w:rsidRPr="00436442">
        <w:rPr>
          <w:rFonts w:ascii="Arial" w:hAnsi="Arial" w:cs="Arial"/>
          <w:sz w:val="23"/>
          <w:szCs w:val="23"/>
        </w:rPr>
        <w:t xml:space="preserve">has also outlined the </w:t>
      </w:r>
      <w:r w:rsidR="00ED45BE" w:rsidRPr="00436442">
        <w:rPr>
          <w:rFonts w:ascii="Arial" w:hAnsi="Arial" w:cs="Arial"/>
          <w:sz w:val="23"/>
          <w:szCs w:val="23"/>
        </w:rPr>
        <w:t xml:space="preserve">particular </w:t>
      </w:r>
      <w:r w:rsidRPr="00436442">
        <w:rPr>
          <w:rFonts w:ascii="Arial" w:hAnsi="Arial" w:cs="Arial"/>
          <w:sz w:val="23"/>
          <w:szCs w:val="23"/>
        </w:rPr>
        <w:t xml:space="preserve">demographic challenges </w:t>
      </w:r>
      <w:r w:rsidR="00ED45BE" w:rsidRPr="00436442">
        <w:rPr>
          <w:rFonts w:ascii="Arial" w:hAnsi="Arial" w:cs="Arial"/>
          <w:sz w:val="23"/>
          <w:szCs w:val="23"/>
        </w:rPr>
        <w:t xml:space="preserve">that </w:t>
      </w:r>
      <w:r w:rsidRPr="00436442">
        <w:rPr>
          <w:rFonts w:ascii="Arial" w:hAnsi="Arial" w:cs="Arial"/>
          <w:sz w:val="23"/>
          <w:szCs w:val="23"/>
        </w:rPr>
        <w:t>they face</w:t>
      </w:r>
      <w:r w:rsidR="005F040A" w:rsidRPr="00436442">
        <w:rPr>
          <w:rFonts w:ascii="Arial" w:hAnsi="Arial" w:cs="Arial"/>
          <w:sz w:val="23"/>
          <w:szCs w:val="23"/>
        </w:rPr>
        <w:t>.  M</w:t>
      </w:r>
      <w:r w:rsidRPr="00436442">
        <w:rPr>
          <w:rFonts w:ascii="Arial" w:hAnsi="Arial" w:cs="Arial"/>
          <w:sz w:val="23"/>
          <w:szCs w:val="23"/>
        </w:rPr>
        <w:t>ost notably</w:t>
      </w:r>
      <w:r w:rsidR="005F040A" w:rsidRPr="00436442">
        <w:rPr>
          <w:rFonts w:ascii="Arial" w:hAnsi="Arial" w:cs="Arial"/>
          <w:sz w:val="23"/>
          <w:szCs w:val="23"/>
        </w:rPr>
        <w:t>,</w:t>
      </w:r>
      <w:r w:rsidRPr="00436442">
        <w:rPr>
          <w:rFonts w:ascii="Arial" w:hAnsi="Arial" w:cs="Arial"/>
          <w:sz w:val="23"/>
          <w:szCs w:val="23"/>
        </w:rPr>
        <w:t xml:space="preserve"> the 25 to 44 age group saw the largest decrease (-10.9%) while the 75 and over age group saw the largest percentage increase (+57.4%). </w:t>
      </w:r>
      <w:r w:rsidR="009E3497" w:rsidRPr="00436442">
        <w:rPr>
          <w:rFonts w:ascii="Arial" w:hAnsi="Arial" w:cs="Arial"/>
          <w:sz w:val="23"/>
          <w:szCs w:val="23"/>
        </w:rPr>
        <w:t xml:space="preserve"> </w:t>
      </w:r>
      <w:r w:rsidRPr="00436442">
        <w:rPr>
          <w:rFonts w:ascii="Arial" w:hAnsi="Arial" w:cs="Arial"/>
          <w:sz w:val="23"/>
          <w:szCs w:val="23"/>
        </w:rPr>
        <w:t>Not only does this affect the balance between those of working age to those of non-working age</w:t>
      </w:r>
      <w:r w:rsidR="009E3497" w:rsidRPr="00436442">
        <w:rPr>
          <w:rFonts w:ascii="Arial" w:hAnsi="Arial" w:cs="Arial"/>
          <w:sz w:val="23"/>
          <w:szCs w:val="23"/>
        </w:rPr>
        <w:t>,</w:t>
      </w:r>
      <w:r w:rsidRPr="00436442">
        <w:rPr>
          <w:rFonts w:ascii="Arial" w:hAnsi="Arial" w:cs="Arial"/>
          <w:sz w:val="23"/>
          <w:szCs w:val="23"/>
        </w:rPr>
        <w:t xml:space="preserve"> but an ageing population also leads to an expected increase in demand for workers in certain sectors – most notably the health and social care sector. </w:t>
      </w:r>
      <w:r w:rsidR="009E3497" w:rsidRPr="00436442">
        <w:rPr>
          <w:rFonts w:ascii="Arial" w:hAnsi="Arial" w:cs="Arial"/>
          <w:sz w:val="23"/>
          <w:szCs w:val="23"/>
        </w:rPr>
        <w:t xml:space="preserve"> </w:t>
      </w:r>
      <w:r w:rsidRPr="00436442">
        <w:rPr>
          <w:rFonts w:ascii="Arial" w:hAnsi="Arial" w:cs="Arial"/>
          <w:sz w:val="23"/>
          <w:szCs w:val="23"/>
        </w:rPr>
        <w:t>NHS Scotland has indicated that these demographic changes are anticipated to generate a 1% year- on-year, aggregate increase in demand for healthcare at a national level and these trends are exacerbated in Highland due to the remote and rural context and increasing rates of people retiring</w:t>
      </w:r>
      <w:r w:rsidR="006D4640" w:rsidRPr="00436442">
        <w:rPr>
          <w:rFonts w:ascii="Arial" w:hAnsi="Arial" w:cs="Arial"/>
          <w:sz w:val="23"/>
          <w:szCs w:val="23"/>
        </w:rPr>
        <w:t>.</w:t>
      </w:r>
    </w:p>
    <w:p w14:paraId="479AE895" w14:textId="77777777" w:rsidR="006D4640" w:rsidRPr="00436442" w:rsidRDefault="006D4640" w:rsidP="006D4640">
      <w:pPr>
        <w:pStyle w:val="NormalWeb"/>
        <w:spacing w:before="0" w:beforeAutospacing="0" w:after="0" w:afterAutospacing="0"/>
        <w:rPr>
          <w:rFonts w:ascii="Arial" w:hAnsi="Arial" w:cs="Arial"/>
          <w:sz w:val="23"/>
          <w:szCs w:val="23"/>
        </w:rPr>
      </w:pPr>
    </w:p>
    <w:p w14:paraId="6C63BCEC" w14:textId="77777777" w:rsidR="00B90BFE" w:rsidRDefault="009A7386" w:rsidP="00B90BFE">
      <w:pPr>
        <w:pStyle w:val="ListParagraph"/>
        <w:numPr>
          <w:ilvl w:val="0"/>
          <w:numId w:val="2"/>
        </w:numPr>
        <w:rPr>
          <w:rFonts w:ascii="Arial" w:eastAsia="Times New Roman" w:hAnsi="Arial" w:cs="Arial"/>
          <w:sz w:val="23"/>
          <w:szCs w:val="23"/>
          <w:lang w:eastAsia="en-GB"/>
        </w:rPr>
      </w:pPr>
      <w:r w:rsidRPr="00436442">
        <w:rPr>
          <w:rFonts w:ascii="Arial" w:eastAsia="Times New Roman" w:hAnsi="Arial" w:cs="Arial"/>
          <w:sz w:val="23"/>
          <w:szCs w:val="23"/>
          <w:lang w:eastAsia="en-GB"/>
        </w:rPr>
        <w:t>Current migration stat</w:t>
      </w:r>
      <w:r w:rsidR="006D4640" w:rsidRPr="00436442">
        <w:rPr>
          <w:rFonts w:ascii="Arial" w:eastAsia="Times New Roman" w:hAnsi="Arial" w:cs="Arial"/>
          <w:sz w:val="23"/>
          <w:szCs w:val="23"/>
          <w:lang w:eastAsia="en-GB"/>
        </w:rPr>
        <w:t>istic</w:t>
      </w:r>
      <w:r w:rsidRPr="00436442">
        <w:rPr>
          <w:rFonts w:ascii="Arial" w:eastAsia="Times New Roman" w:hAnsi="Arial" w:cs="Arial"/>
          <w:sz w:val="23"/>
          <w:szCs w:val="23"/>
          <w:lang w:eastAsia="en-GB"/>
        </w:rPr>
        <w:t xml:space="preserve">s for Shetland are </w:t>
      </w:r>
      <w:r w:rsidR="006D4640" w:rsidRPr="00436442">
        <w:rPr>
          <w:rFonts w:ascii="Arial" w:eastAsia="Times New Roman" w:hAnsi="Arial" w:cs="Arial"/>
          <w:sz w:val="23"/>
          <w:szCs w:val="23"/>
          <w:lang w:eastAsia="en-GB"/>
        </w:rPr>
        <w:t xml:space="preserve">also </w:t>
      </w:r>
      <w:r w:rsidRPr="00436442">
        <w:rPr>
          <w:rFonts w:ascii="Arial" w:eastAsia="Times New Roman" w:hAnsi="Arial" w:cs="Arial"/>
          <w:sz w:val="23"/>
          <w:szCs w:val="23"/>
          <w:lang w:eastAsia="en-GB"/>
        </w:rPr>
        <w:t xml:space="preserve">negative. </w:t>
      </w:r>
      <w:r w:rsidR="006D4640" w:rsidRPr="00436442">
        <w:rPr>
          <w:rFonts w:ascii="Arial" w:eastAsia="Times New Roman" w:hAnsi="Arial" w:cs="Arial"/>
          <w:sz w:val="23"/>
          <w:szCs w:val="23"/>
          <w:lang w:eastAsia="en-GB"/>
        </w:rPr>
        <w:t xml:space="preserve"> </w:t>
      </w:r>
      <w:r w:rsidRPr="00436442">
        <w:rPr>
          <w:rFonts w:ascii="Arial" w:eastAsia="Times New Roman" w:hAnsi="Arial" w:cs="Arial"/>
          <w:sz w:val="23"/>
          <w:szCs w:val="23"/>
          <w:lang w:eastAsia="en-GB"/>
        </w:rPr>
        <w:t xml:space="preserve">Figures from National Records of Scotland show that the rate of migration per 1,000 of population in Shetland was -5.63 in 2017 and -3.48 in 2018 (compared to +4.41 and +3.84 for Scotland for the same years). </w:t>
      </w:r>
      <w:r w:rsidR="00D30C45" w:rsidRPr="00436442">
        <w:rPr>
          <w:rFonts w:ascii="Arial" w:eastAsia="Times New Roman" w:hAnsi="Arial" w:cs="Arial"/>
          <w:sz w:val="23"/>
          <w:szCs w:val="23"/>
          <w:lang w:eastAsia="en-GB"/>
        </w:rPr>
        <w:t xml:space="preserve"> </w:t>
      </w:r>
      <w:r w:rsidRPr="00436442">
        <w:rPr>
          <w:rFonts w:ascii="Arial" w:eastAsia="Times New Roman" w:hAnsi="Arial" w:cs="Arial"/>
          <w:sz w:val="23"/>
          <w:szCs w:val="23"/>
          <w:lang w:eastAsia="en-GB"/>
        </w:rPr>
        <w:t>Mid-</w:t>
      </w:r>
      <w:r w:rsidR="00D30C45" w:rsidRPr="00436442">
        <w:rPr>
          <w:rFonts w:ascii="Arial" w:eastAsia="Times New Roman" w:hAnsi="Arial" w:cs="Arial"/>
          <w:sz w:val="23"/>
          <w:szCs w:val="23"/>
          <w:lang w:eastAsia="en-GB"/>
        </w:rPr>
        <w:t>y</w:t>
      </w:r>
      <w:r w:rsidRPr="00436442">
        <w:rPr>
          <w:rFonts w:ascii="Arial" w:eastAsia="Times New Roman" w:hAnsi="Arial" w:cs="Arial"/>
          <w:sz w:val="23"/>
          <w:szCs w:val="23"/>
          <w:lang w:eastAsia="en-GB"/>
        </w:rPr>
        <w:t xml:space="preserve">ear </w:t>
      </w:r>
      <w:r w:rsidR="00D30C45" w:rsidRPr="00436442">
        <w:rPr>
          <w:rFonts w:ascii="Arial" w:eastAsia="Times New Roman" w:hAnsi="Arial" w:cs="Arial"/>
          <w:sz w:val="23"/>
          <w:szCs w:val="23"/>
          <w:lang w:eastAsia="en-GB"/>
        </w:rPr>
        <w:t>p</w:t>
      </w:r>
      <w:r w:rsidRPr="00436442">
        <w:rPr>
          <w:rFonts w:ascii="Arial" w:eastAsia="Times New Roman" w:hAnsi="Arial" w:cs="Arial"/>
          <w:sz w:val="23"/>
          <w:szCs w:val="23"/>
          <w:lang w:eastAsia="en-GB"/>
        </w:rPr>
        <w:t xml:space="preserve">opulation figures have estimated negative net migration in Shetland for each year since 2010/11. </w:t>
      </w:r>
      <w:r w:rsidR="005B55BD" w:rsidRPr="00436442">
        <w:rPr>
          <w:rFonts w:ascii="Arial" w:eastAsia="Times New Roman" w:hAnsi="Arial" w:cs="Arial"/>
          <w:sz w:val="23"/>
          <w:szCs w:val="23"/>
          <w:lang w:eastAsia="en-GB"/>
        </w:rPr>
        <w:t xml:space="preserve"> </w:t>
      </w:r>
      <w:r w:rsidRPr="00436442">
        <w:rPr>
          <w:rFonts w:ascii="Arial" w:eastAsia="Times New Roman" w:hAnsi="Arial" w:cs="Arial"/>
          <w:sz w:val="23"/>
          <w:szCs w:val="23"/>
          <w:lang w:eastAsia="en-GB"/>
        </w:rPr>
        <w:t>It is not possible for natural growth alone to reverse this trend, and reasonable to expect that a reduction in national migration will exacerbate difficulties faced in attracting skilled labour.</w:t>
      </w:r>
    </w:p>
    <w:p w14:paraId="4953A43E" w14:textId="77777777" w:rsidR="00B90BFE" w:rsidRPr="00B90BFE" w:rsidRDefault="00B90BFE" w:rsidP="00B90BFE">
      <w:pPr>
        <w:pStyle w:val="ListParagraph"/>
        <w:rPr>
          <w:rFonts w:ascii="Arial" w:eastAsia="Times New Roman" w:hAnsi="Arial" w:cs="Arial"/>
          <w:sz w:val="23"/>
          <w:szCs w:val="23"/>
          <w:lang w:eastAsia="en-GB"/>
        </w:rPr>
      </w:pPr>
    </w:p>
    <w:p w14:paraId="05C27EB9" w14:textId="5BA70387" w:rsidR="003A52F5" w:rsidRPr="00F77DFC" w:rsidRDefault="003A52F5" w:rsidP="00B90BFE">
      <w:pPr>
        <w:pStyle w:val="ListParagraph"/>
        <w:numPr>
          <w:ilvl w:val="0"/>
          <w:numId w:val="2"/>
        </w:numPr>
        <w:rPr>
          <w:rFonts w:ascii="Arial" w:eastAsia="Times New Roman" w:hAnsi="Arial" w:cs="Arial"/>
          <w:sz w:val="23"/>
          <w:szCs w:val="23"/>
          <w:lang w:eastAsia="en-GB"/>
        </w:rPr>
      </w:pPr>
      <w:r w:rsidRPr="00B90BFE">
        <w:rPr>
          <w:rFonts w:ascii="Arial" w:eastAsia="Times New Roman" w:hAnsi="Arial" w:cs="Arial"/>
          <w:sz w:val="23"/>
          <w:szCs w:val="23"/>
          <w:lang w:eastAsia="en-GB"/>
        </w:rPr>
        <w:t>In the Outer Hebrides</w:t>
      </w:r>
      <w:r w:rsidR="00B90BFE" w:rsidRPr="00B90BFE">
        <w:rPr>
          <w:rFonts w:ascii="Arial" w:eastAsia="Times New Roman" w:hAnsi="Arial" w:cs="Arial"/>
          <w:sz w:val="23"/>
          <w:szCs w:val="23"/>
          <w:lang w:eastAsia="en-GB"/>
        </w:rPr>
        <w:t xml:space="preserve">, </w:t>
      </w:r>
      <w:r w:rsidR="00B90BFE" w:rsidRPr="00B90BFE">
        <w:rPr>
          <w:rFonts w:ascii="Arial" w:hAnsi="Arial" w:cs="Arial"/>
          <w:sz w:val="23"/>
          <w:szCs w:val="23"/>
        </w:rPr>
        <w:t>2014 based population projections predict a severe decline in the population of the Western Isles - 13.7% in the next 25 years, the largest in Scotland, with a 28% decline in the 0-15 year age group, the largest decline in Scotland; a 21 % decline in the working age population, the largest in Scotland; and, an 11% increase in those of pensionable age.</w:t>
      </w:r>
    </w:p>
    <w:p w14:paraId="62C7C923" w14:textId="77777777" w:rsidR="00F77DFC" w:rsidRPr="00F77DFC" w:rsidRDefault="00F77DFC" w:rsidP="00F77DFC">
      <w:pPr>
        <w:pStyle w:val="ListParagraph"/>
        <w:rPr>
          <w:rFonts w:ascii="Arial" w:eastAsia="Times New Roman" w:hAnsi="Arial" w:cs="Arial"/>
          <w:sz w:val="23"/>
          <w:szCs w:val="23"/>
          <w:lang w:eastAsia="en-GB"/>
        </w:rPr>
      </w:pPr>
    </w:p>
    <w:p w14:paraId="587B1591" w14:textId="6FFF676F" w:rsidR="00F77DFC" w:rsidRPr="00BC569A" w:rsidRDefault="00F77DFC" w:rsidP="00F77DFC">
      <w:pPr>
        <w:pStyle w:val="ListParagraph"/>
        <w:numPr>
          <w:ilvl w:val="0"/>
          <w:numId w:val="2"/>
        </w:numPr>
        <w:jc w:val="both"/>
        <w:rPr>
          <w:rFonts w:ascii="Arial" w:hAnsi="Arial" w:cs="Arial"/>
          <w:sz w:val="23"/>
          <w:szCs w:val="23"/>
        </w:rPr>
      </w:pPr>
      <w:r w:rsidRPr="00BC569A">
        <w:rPr>
          <w:rFonts w:ascii="Arial" w:hAnsi="Arial" w:cs="Arial"/>
          <w:sz w:val="23"/>
          <w:szCs w:val="23"/>
        </w:rPr>
        <w:t xml:space="preserve">The overarching objective of the Highlands and Islands Talent Attraction and Retention Strategy is to increase the number of working age people living and working in the region; reverse the forecast decline in population, while rebalancing from aging to young/working age residents by achieving year on year positive net migration; ensure that business located in (or locating into) the Highlands and Islands are able to access an appropriate scale and scope of skilled future talent; and, develop a co-ordinated approach across the Highlands and Islands to talent attraction and retention. </w:t>
      </w:r>
    </w:p>
    <w:p w14:paraId="342FF88C" w14:textId="77777777" w:rsidR="00F77DFC" w:rsidRPr="00BC569A" w:rsidRDefault="00F77DFC" w:rsidP="00F77DFC">
      <w:pPr>
        <w:jc w:val="both"/>
        <w:rPr>
          <w:rFonts w:ascii="Arial" w:hAnsi="Arial" w:cs="Arial"/>
          <w:sz w:val="23"/>
          <w:szCs w:val="23"/>
        </w:rPr>
      </w:pPr>
    </w:p>
    <w:p w14:paraId="04F744BB" w14:textId="09015633" w:rsidR="00F77DFC" w:rsidRPr="00BC569A" w:rsidRDefault="00F77DFC" w:rsidP="00F77DFC">
      <w:pPr>
        <w:pStyle w:val="ListParagraph"/>
        <w:numPr>
          <w:ilvl w:val="0"/>
          <w:numId w:val="2"/>
        </w:numPr>
        <w:jc w:val="both"/>
        <w:rPr>
          <w:rFonts w:ascii="Arial" w:hAnsi="Arial" w:cs="Arial"/>
          <w:sz w:val="23"/>
          <w:szCs w:val="23"/>
        </w:rPr>
      </w:pPr>
      <w:r w:rsidRPr="00BC569A">
        <w:rPr>
          <w:rFonts w:ascii="Arial" w:hAnsi="Arial" w:cs="Arial"/>
          <w:sz w:val="23"/>
          <w:szCs w:val="23"/>
        </w:rPr>
        <w:t>However, the Highlands and Islands region is faced with a number of challenges such as: a tight labour market with limited pool of resources.  Highlands &amp; Islands typically has a low level of unemployment although there are high levels of under-employment across the rural, remote rural and islands communities; a deficit of skilled people of working age, in particular, 15-39 year olds; and, an out-migration (although maybe temporary) of young people to pursue higher and further education.</w:t>
      </w:r>
    </w:p>
    <w:p w14:paraId="1354A272" w14:textId="77777777" w:rsidR="00BC569A" w:rsidRPr="00BC569A" w:rsidRDefault="00BC569A" w:rsidP="00BC569A">
      <w:pPr>
        <w:jc w:val="both"/>
        <w:rPr>
          <w:rFonts w:ascii="Arial" w:hAnsi="Arial" w:cs="Arial"/>
          <w:sz w:val="23"/>
          <w:szCs w:val="23"/>
        </w:rPr>
      </w:pPr>
    </w:p>
    <w:p w14:paraId="313F41B0" w14:textId="5D5E62CE" w:rsidR="00F77DFC" w:rsidRPr="00BC569A" w:rsidRDefault="00BC569A" w:rsidP="00BC569A">
      <w:pPr>
        <w:pStyle w:val="ListParagraph"/>
        <w:numPr>
          <w:ilvl w:val="0"/>
          <w:numId w:val="2"/>
        </w:numPr>
        <w:jc w:val="both"/>
        <w:rPr>
          <w:rFonts w:ascii="Arial" w:hAnsi="Arial" w:cs="Arial"/>
          <w:sz w:val="23"/>
          <w:szCs w:val="23"/>
        </w:rPr>
      </w:pPr>
      <w:r w:rsidRPr="00BC569A">
        <w:rPr>
          <w:rFonts w:ascii="Arial" w:hAnsi="Arial" w:cs="Arial"/>
          <w:sz w:val="23"/>
          <w:szCs w:val="23"/>
        </w:rPr>
        <w:t>From the Regionals Skills Assessments and supporting labour market forecasts an estimated additional 4,500-7,500 jobs could be created in the region. These figures may underestimate the likely demand as it does not take into account replacement demand i.e. people leaving the market or changing careers.  Ageing demographics coupled with the falling net migration has resulted in restricted working age population.  At the same time, the number of businesses has increased.</w:t>
      </w:r>
    </w:p>
    <w:p w14:paraId="6B7F5268" w14:textId="77777777" w:rsidR="002429BA" w:rsidRPr="00436442" w:rsidRDefault="002429BA" w:rsidP="002429BA">
      <w:pPr>
        <w:rPr>
          <w:rFonts w:ascii="Arial" w:eastAsia="Times New Roman" w:hAnsi="Arial" w:cs="Arial"/>
          <w:sz w:val="23"/>
          <w:szCs w:val="23"/>
          <w:lang w:eastAsia="en-GB"/>
        </w:rPr>
      </w:pPr>
    </w:p>
    <w:p w14:paraId="1B692CCA" w14:textId="1247AC35" w:rsidR="0093357D" w:rsidRPr="00436442" w:rsidRDefault="0093357D" w:rsidP="002429BA">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Aberdeen City </w:t>
      </w:r>
      <w:r w:rsidR="002429BA" w:rsidRPr="00436442">
        <w:rPr>
          <w:rFonts w:ascii="Arial" w:hAnsi="Arial" w:cs="Arial"/>
          <w:sz w:val="23"/>
          <w:szCs w:val="23"/>
        </w:rPr>
        <w:t xml:space="preserve">Council </w:t>
      </w:r>
      <w:r w:rsidRPr="00436442">
        <w:rPr>
          <w:rFonts w:ascii="Arial" w:hAnsi="Arial" w:cs="Arial"/>
          <w:sz w:val="23"/>
          <w:szCs w:val="23"/>
        </w:rPr>
        <w:t xml:space="preserve">would </w:t>
      </w:r>
      <w:r w:rsidR="001507F4" w:rsidRPr="00436442">
        <w:rPr>
          <w:rFonts w:ascii="Arial" w:hAnsi="Arial" w:cs="Arial"/>
          <w:sz w:val="23"/>
          <w:szCs w:val="23"/>
        </w:rPr>
        <w:t xml:space="preserve">also </w:t>
      </w:r>
      <w:r w:rsidRPr="00436442">
        <w:rPr>
          <w:rFonts w:ascii="Arial" w:hAnsi="Arial" w:cs="Arial"/>
          <w:sz w:val="23"/>
          <w:szCs w:val="23"/>
        </w:rPr>
        <w:t xml:space="preserve">welcome </w:t>
      </w:r>
      <w:r w:rsidR="00F53D64" w:rsidRPr="00436442">
        <w:rPr>
          <w:rFonts w:ascii="Arial" w:hAnsi="Arial" w:cs="Arial"/>
          <w:sz w:val="23"/>
          <w:szCs w:val="23"/>
        </w:rPr>
        <w:t>the</w:t>
      </w:r>
      <w:r w:rsidRPr="00436442">
        <w:rPr>
          <w:rFonts w:ascii="Arial" w:hAnsi="Arial" w:cs="Arial"/>
          <w:sz w:val="23"/>
          <w:szCs w:val="23"/>
        </w:rPr>
        <w:t xml:space="preserve"> awarding </w:t>
      </w:r>
      <w:r w:rsidR="00F53D64" w:rsidRPr="00436442">
        <w:rPr>
          <w:rFonts w:ascii="Arial" w:hAnsi="Arial" w:cs="Arial"/>
          <w:sz w:val="23"/>
          <w:szCs w:val="23"/>
        </w:rPr>
        <w:t xml:space="preserve">of </w:t>
      </w:r>
      <w:r w:rsidRPr="00436442">
        <w:rPr>
          <w:rFonts w:ascii="Arial" w:hAnsi="Arial" w:cs="Arial"/>
          <w:sz w:val="23"/>
          <w:szCs w:val="23"/>
        </w:rPr>
        <w:t xml:space="preserve">points based on parts of the country in need of increased population.  </w:t>
      </w:r>
      <w:r w:rsidRPr="00436442">
        <w:rPr>
          <w:rFonts w:ascii="Arial" w:eastAsia="Calibri" w:hAnsi="Arial" w:cs="Arial"/>
          <w:sz w:val="23"/>
          <w:szCs w:val="23"/>
        </w:rPr>
        <w:t xml:space="preserve">They emphasise the importance of being able to continually attract people to live and work in the region to deliver the diversification </w:t>
      </w:r>
      <w:r w:rsidR="006802A2" w:rsidRPr="00436442">
        <w:rPr>
          <w:rFonts w:ascii="Arial" w:eastAsia="Calibri" w:hAnsi="Arial" w:cs="Arial"/>
          <w:sz w:val="23"/>
          <w:szCs w:val="23"/>
        </w:rPr>
        <w:t xml:space="preserve">required </w:t>
      </w:r>
      <w:r w:rsidRPr="00436442">
        <w:rPr>
          <w:rFonts w:ascii="Arial" w:eastAsia="Calibri" w:hAnsi="Arial" w:cs="Arial"/>
          <w:sz w:val="23"/>
          <w:szCs w:val="23"/>
        </w:rPr>
        <w:t xml:space="preserve">in the Regional Economic Strategy and to mitigate against the negative consequences of the region’s predicted ageing population. </w:t>
      </w:r>
      <w:r w:rsidR="003F562A" w:rsidRPr="00436442">
        <w:rPr>
          <w:rFonts w:ascii="Arial" w:eastAsia="Calibri" w:hAnsi="Arial" w:cs="Arial"/>
          <w:sz w:val="23"/>
          <w:szCs w:val="23"/>
        </w:rPr>
        <w:t xml:space="preserve"> </w:t>
      </w:r>
      <w:r w:rsidRPr="00436442">
        <w:rPr>
          <w:rFonts w:ascii="Arial" w:eastAsia="Calibri" w:hAnsi="Arial" w:cs="Arial"/>
          <w:sz w:val="23"/>
          <w:szCs w:val="23"/>
        </w:rPr>
        <w:t>The North East</w:t>
      </w:r>
      <w:r w:rsidR="003F562A" w:rsidRPr="00436442">
        <w:rPr>
          <w:rFonts w:ascii="Arial" w:eastAsia="Calibri" w:hAnsi="Arial" w:cs="Arial"/>
          <w:sz w:val="23"/>
          <w:szCs w:val="23"/>
        </w:rPr>
        <w:t xml:space="preserve"> of Scotland</w:t>
      </w:r>
      <w:r w:rsidRPr="00436442">
        <w:rPr>
          <w:rFonts w:ascii="Arial" w:eastAsia="Calibri" w:hAnsi="Arial" w:cs="Arial"/>
          <w:sz w:val="23"/>
          <w:szCs w:val="23"/>
        </w:rPr>
        <w:t xml:space="preserve"> has historically been an area that has had an inflow of migrants</w:t>
      </w:r>
      <w:r w:rsidR="00B1663A" w:rsidRPr="00436442">
        <w:rPr>
          <w:rFonts w:ascii="Arial" w:eastAsia="Calibri" w:hAnsi="Arial" w:cs="Arial"/>
          <w:sz w:val="23"/>
          <w:szCs w:val="23"/>
        </w:rPr>
        <w:t>,</w:t>
      </w:r>
      <w:r w:rsidRPr="00436442">
        <w:rPr>
          <w:rFonts w:ascii="Arial" w:eastAsia="Calibri" w:hAnsi="Arial" w:cs="Arial"/>
          <w:sz w:val="23"/>
          <w:szCs w:val="23"/>
        </w:rPr>
        <w:t xml:space="preserve"> particularly from the EU and the rest of the world</w:t>
      </w:r>
      <w:r w:rsidR="00B1663A" w:rsidRPr="00436442">
        <w:rPr>
          <w:rFonts w:ascii="Arial" w:eastAsia="Calibri" w:hAnsi="Arial" w:cs="Arial"/>
          <w:sz w:val="23"/>
          <w:szCs w:val="23"/>
        </w:rPr>
        <w:t>,</w:t>
      </w:r>
      <w:r w:rsidRPr="00436442">
        <w:rPr>
          <w:rFonts w:ascii="Arial" w:eastAsia="Calibri" w:hAnsi="Arial" w:cs="Arial"/>
          <w:sz w:val="23"/>
          <w:szCs w:val="23"/>
        </w:rPr>
        <w:t xml:space="preserve"> working in the key energy sector as well as in the food and drink and tourism sectors. </w:t>
      </w:r>
      <w:r w:rsidR="00B1663A" w:rsidRPr="00436442">
        <w:rPr>
          <w:rFonts w:ascii="Arial" w:eastAsia="Calibri" w:hAnsi="Arial" w:cs="Arial"/>
          <w:sz w:val="23"/>
          <w:szCs w:val="23"/>
        </w:rPr>
        <w:t xml:space="preserve"> </w:t>
      </w:r>
      <w:r w:rsidRPr="00436442">
        <w:rPr>
          <w:rFonts w:ascii="Arial" w:eastAsia="Calibri" w:hAnsi="Arial" w:cs="Arial"/>
          <w:sz w:val="23"/>
          <w:szCs w:val="23"/>
        </w:rPr>
        <w:t xml:space="preserve">Since the oil and gas downturn, this trend has reversed and the region now has a net outflow of migrants. </w:t>
      </w:r>
      <w:r w:rsidR="00974C9B" w:rsidRPr="00436442">
        <w:rPr>
          <w:rFonts w:ascii="Arial" w:eastAsia="Calibri" w:hAnsi="Arial" w:cs="Arial"/>
          <w:sz w:val="23"/>
          <w:szCs w:val="23"/>
        </w:rPr>
        <w:t xml:space="preserve"> </w:t>
      </w:r>
      <w:r w:rsidRPr="00436442">
        <w:rPr>
          <w:rFonts w:ascii="Arial" w:eastAsia="Calibri" w:hAnsi="Arial" w:cs="Arial"/>
          <w:sz w:val="23"/>
          <w:szCs w:val="23"/>
        </w:rPr>
        <w:t xml:space="preserve">Working age migrants in the North East are particularly important for the region’s key sectors and there is a risk that emigration from the region could continue as a result of leaving the EU. </w:t>
      </w:r>
      <w:r w:rsidR="00974C9B" w:rsidRPr="00436442">
        <w:rPr>
          <w:rFonts w:ascii="Arial" w:eastAsia="Calibri" w:hAnsi="Arial" w:cs="Arial"/>
          <w:sz w:val="23"/>
          <w:szCs w:val="23"/>
        </w:rPr>
        <w:t xml:space="preserve"> </w:t>
      </w:r>
      <w:r w:rsidRPr="00436442">
        <w:rPr>
          <w:rFonts w:ascii="Arial" w:eastAsia="Calibri" w:hAnsi="Arial" w:cs="Arial"/>
          <w:sz w:val="23"/>
          <w:szCs w:val="23"/>
        </w:rPr>
        <w:t xml:space="preserve">An increasing working age population through either immigration or retention of people already in the North East is essential to deliver the City Centre Living Strategy, help </w:t>
      </w:r>
      <w:r w:rsidR="006512CB" w:rsidRPr="00436442">
        <w:rPr>
          <w:rFonts w:ascii="Arial" w:eastAsia="Calibri" w:hAnsi="Arial" w:cs="Arial"/>
          <w:sz w:val="23"/>
          <w:szCs w:val="23"/>
        </w:rPr>
        <w:t xml:space="preserve">the </w:t>
      </w:r>
      <w:r w:rsidRPr="00436442">
        <w:rPr>
          <w:rFonts w:ascii="Arial" w:eastAsia="Calibri" w:hAnsi="Arial" w:cs="Arial"/>
          <w:sz w:val="23"/>
          <w:szCs w:val="23"/>
        </w:rPr>
        <w:t xml:space="preserve">economy prosper, </w:t>
      </w:r>
      <w:r w:rsidR="009E496E" w:rsidRPr="00436442">
        <w:rPr>
          <w:rFonts w:ascii="Arial" w:eastAsia="Calibri" w:hAnsi="Arial" w:cs="Arial"/>
          <w:sz w:val="23"/>
          <w:szCs w:val="23"/>
        </w:rPr>
        <w:t xml:space="preserve">and to </w:t>
      </w:r>
      <w:r w:rsidRPr="00436442">
        <w:rPr>
          <w:rFonts w:ascii="Arial" w:eastAsia="Calibri" w:hAnsi="Arial" w:cs="Arial"/>
          <w:sz w:val="23"/>
          <w:szCs w:val="23"/>
        </w:rPr>
        <w:t xml:space="preserve">fund and participate in </w:t>
      </w:r>
      <w:r w:rsidR="006512CB" w:rsidRPr="00436442">
        <w:rPr>
          <w:rFonts w:ascii="Arial" w:eastAsia="Calibri" w:hAnsi="Arial" w:cs="Arial"/>
          <w:sz w:val="23"/>
          <w:szCs w:val="23"/>
        </w:rPr>
        <w:t>the</w:t>
      </w:r>
      <w:r w:rsidRPr="00436442">
        <w:rPr>
          <w:rFonts w:ascii="Arial" w:eastAsia="Calibri" w:hAnsi="Arial" w:cs="Arial"/>
          <w:sz w:val="23"/>
          <w:szCs w:val="23"/>
        </w:rPr>
        <w:t xml:space="preserve"> higher education institutions, </w:t>
      </w:r>
      <w:r w:rsidR="00915D54" w:rsidRPr="00436442">
        <w:rPr>
          <w:rFonts w:ascii="Arial" w:eastAsia="Calibri" w:hAnsi="Arial" w:cs="Arial"/>
          <w:sz w:val="23"/>
          <w:szCs w:val="23"/>
        </w:rPr>
        <w:t xml:space="preserve">to name just some of the </w:t>
      </w:r>
      <w:r w:rsidR="0091687C" w:rsidRPr="00436442">
        <w:rPr>
          <w:rFonts w:ascii="Arial" w:eastAsia="Calibri" w:hAnsi="Arial" w:cs="Arial"/>
          <w:sz w:val="23"/>
          <w:szCs w:val="23"/>
        </w:rPr>
        <w:t>benefits</w:t>
      </w:r>
      <w:r w:rsidRPr="00436442">
        <w:rPr>
          <w:rFonts w:ascii="Arial" w:eastAsia="Calibri" w:hAnsi="Arial" w:cs="Arial"/>
          <w:sz w:val="23"/>
          <w:szCs w:val="23"/>
        </w:rPr>
        <w:t>.</w:t>
      </w:r>
    </w:p>
    <w:p w14:paraId="62A6223A" w14:textId="77777777" w:rsidR="00E025C4" w:rsidRPr="00436442" w:rsidRDefault="00E025C4" w:rsidP="00E025C4">
      <w:pPr>
        <w:pStyle w:val="NormalWeb"/>
        <w:spacing w:before="0" w:beforeAutospacing="0" w:after="0" w:afterAutospacing="0"/>
        <w:ind w:left="360"/>
        <w:rPr>
          <w:rFonts w:ascii="Arial" w:hAnsi="Arial" w:cs="Arial"/>
          <w:sz w:val="23"/>
          <w:szCs w:val="23"/>
        </w:rPr>
      </w:pPr>
    </w:p>
    <w:p w14:paraId="19A0FFB2" w14:textId="4A5B380B" w:rsidR="008A455C" w:rsidRPr="00436442" w:rsidRDefault="008A455C" w:rsidP="00E7259A">
      <w:pPr>
        <w:keepNext/>
        <w:rPr>
          <w:rFonts w:ascii="Arial" w:hAnsi="Arial" w:cs="Arial"/>
          <w:b/>
          <w:bCs/>
          <w:sz w:val="23"/>
          <w:szCs w:val="23"/>
        </w:rPr>
      </w:pPr>
      <w:r w:rsidRPr="00436442">
        <w:rPr>
          <w:rFonts w:ascii="Arial" w:hAnsi="Arial" w:cs="Arial"/>
          <w:b/>
          <w:bCs/>
          <w:sz w:val="23"/>
          <w:szCs w:val="23"/>
        </w:rPr>
        <w:t xml:space="preserve">Issues with the current </w:t>
      </w:r>
      <w:r w:rsidR="009A7386" w:rsidRPr="00436442">
        <w:rPr>
          <w:rFonts w:ascii="Arial" w:hAnsi="Arial" w:cs="Arial"/>
          <w:b/>
          <w:bCs/>
          <w:sz w:val="23"/>
          <w:szCs w:val="23"/>
        </w:rPr>
        <w:t xml:space="preserve">UK </w:t>
      </w:r>
      <w:r w:rsidRPr="00436442">
        <w:rPr>
          <w:rFonts w:ascii="Arial" w:hAnsi="Arial" w:cs="Arial"/>
          <w:b/>
          <w:bCs/>
          <w:sz w:val="23"/>
          <w:szCs w:val="23"/>
        </w:rPr>
        <w:t>points</w:t>
      </w:r>
      <w:r w:rsidR="009A7386" w:rsidRPr="00436442">
        <w:rPr>
          <w:rFonts w:ascii="Arial" w:hAnsi="Arial" w:cs="Arial"/>
          <w:b/>
          <w:bCs/>
          <w:sz w:val="23"/>
          <w:szCs w:val="23"/>
        </w:rPr>
        <w:t>-</w:t>
      </w:r>
      <w:r w:rsidRPr="00436442">
        <w:rPr>
          <w:rFonts w:ascii="Arial" w:hAnsi="Arial" w:cs="Arial"/>
          <w:b/>
          <w:bCs/>
          <w:sz w:val="23"/>
          <w:szCs w:val="23"/>
        </w:rPr>
        <w:t xml:space="preserve">based immigration system </w:t>
      </w:r>
    </w:p>
    <w:p w14:paraId="457A689D" w14:textId="77777777" w:rsidR="003A2EE5" w:rsidRPr="00436442" w:rsidRDefault="003A2EE5" w:rsidP="00E7259A">
      <w:pPr>
        <w:pStyle w:val="NormalWeb"/>
        <w:keepNext/>
        <w:spacing w:before="0" w:beforeAutospacing="0" w:after="0" w:afterAutospacing="0"/>
        <w:ind w:left="357"/>
        <w:rPr>
          <w:rFonts w:ascii="Arial" w:hAnsi="Arial" w:cs="Arial"/>
          <w:sz w:val="23"/>
          <w:szCs w:val="23"/>
        </w:rPr>
      </w:pPr>
    </w:p>
    <w:p w14:paraId="239C26E5" w14:textId="36C3011A" w:rsidR="00651B35" w:rsidRPr="00436442" w:rsidRDefault="00EE21C0" w:rsidP="00E7259A">
      <w:pPr>
        <w:pStyle w:val="NormalWeb"/>
        <w:keepNext/>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 xml:space="preserve">Our member authorities have consistently raised the administrative burdens </w:t>
      </w:r>
      <w:r w:rsidR="001426D7" w:rsidRPr="00436442">
        <w:rPr>
          <w:rFonts w:ascii="Arial" w:hAnsi="Arial" w:cs="Arial"/>
          <w:sz w:val="23"/>
          <w:szCs w:val="23"/>
        </w:rPr>
        <w:t xml:space="preserve">that they face </w:t>
      </w:r>
      <w:r w:rsidRPr="00436442">
        <w:rPr>
          <w:rFonts w:ascii="Arial" w:hAnsi="Arial" w:cs="Arial"/>
          <w:sz w:val="23"/>
          <w:szCs w:val="23"/>
        </w:rPr>
        <w:t>as employer sponsors and how confusing, time consuming and costly this can be</w:t>
      </w:r>
      <w:r w:rsidR="00D5064D" w:rsidRPr="00436442">
        <w:rPr>
          <w:rFonts w:ascii="Arial" w:hAnsi="Arial" w:cs="Arial"/>
          <w:sz w:val="23"/>
          <w:szCs w:val="23"/>
        </w:rPr>
        <w:t xml:space="preserve">.  They </w:t>
      </w:r>
      <w:r w:rsidR="00651B35" w:rsidRPr="00436442">
        <w:rPr>
          <w:rFonts w:ascii="Arial" w:hAnsi="Arial" w:cs="Arial"/>
          <w:sz w:val="23"/>
          <w:szCs w:val="23"/>
        </w:rPr>
        <w:t>emphasised the importance of keeping reporting requirements and costs to an absolute minimum</w:t>
      </w:r>
      <w:r w:rsidRPr="00436442">
        <w:rPr>
          <w:rFonts w:ascii="Arial" w:hAnsi="Arial" w:cs="Arial"/>
          <w:sz w:val="23"/>
          <w:szCs w:val="23"/>
        </w:rPr>
        <w:t>.</w:t>
      </w:r>
    </w:p>
    <w:p w14:paraId="11EFE874" w14:textId="77777777" w:rsidR="00651B35" w:rsidRPr="00436442" w:rsidRDefault="00651B35" w:rsidP="00651B35">
      <w:pPr>
        <w:pStyle w:val="NormalWeb"/>
        <w:spacing w:before="0" w:beforeAutospacing="0" w:after="0" w:afterAutospacing="0"/>
        <w:ind w:left="357"/>
        <w:rPr>
          <w:rFonts w:ascii="Arial" w:hAnsi="Arial" w:cs="Arial"/>
          <w:sz w:val="23"/>
          <w:szCs w:val="23"/>
        </w:rPr>
      </w:pPr>
    </w:p>
    <w:p w14:paraId="65ED7AE9" w14:textId="269A9708" w:rsidR="002237BE" w:rsidRPr="00436442" w:rsidRDefault="0042185F" w:rsidP="002237BE">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Dumfries &amp; Galloway highlight</w:t>
      </w:r>
      <w:r w:rsidR="006660CD" w:rsidRPr="00436442">
        <w:rPr>
          <w:rFonts w:ascii="Arial" w:hAnsi="Arial" w:cs="Arial"/>
          <w:sz w:val="23"/>
          <w:szCs w:val="23"/>
        </w:rPr>
        <w:t>ed</w:t>
      </w:r>
      <w:r w:rsidRPr="00436442">
        <w:rPr>
          <w:rFonts w:ascii="Arial" w:hAnsi="Arial" w:cs="Arial"/>
          <w:sz w:val="23"/>
          <w:szCs w:val="23"/>
        </w:rPr>
        <w:t xml:space="preserve"> the additional administrative burden on the Council and local businesses if they become reliant on recruitment of staff on visas. This would increase costs for staffing, advertising and registration, </w:t>
      </w:r>
      <w:r w:rsidR="006660CD" w:rsidRPr="00436442">
        <w:rPr>
          <w:rFonts w:ascii="Arial" w:hAnsi="Arial" w:cs="Arial"/>
          <w:sz w:val="23"/>
          <w:szCs w:val="23"/>
        </w:rPr>
        <w:t>as</w:t>
      </w:r>
      <w:r w:rsidRPr="00436442">
        <w:rPr>
          <w:rFonts w:ascii="Arial" w:hAnsi="Arial" w:cs="Arial"/>
          <w:sz w:val="23"/>
          <w:szCs w:val="23"/>
        </w:rPr>
        <w:t xml:space="preserve"> </w:t>
      </w:r>
      <w:r w:rsidR="006660CD" w:rsidRPr="00436442">
        <w:rPr>
          <w:rFonts w:ascii="Arial" w:hAnsi="Arial" w:cs="Arial"/>
          <w:sz w:val="23"/>
          <w:szCs w:val="23"/>
        </w:rPr>
        <w:t xml:space="preserve">well as </w:t>
      </w:r>
      <w:r w:rsidRPr="00436442">
        <w:rPr>
          <w:rFonts w:ascii="Arial" w:hAnsi="Arial" w:cs="Arial"/>
          <w:sz w:val="23"/>
          <w:szCs w:val="23"/>
        </w:rPr>
        <w:t>increas</w:t>
      </w:r>
      <w:r w:rsidR="008C15D9" w:rsidRPr="00436442">
        <w:rPr>
          <w:rFonts w:ascii="Arial" w:hAnsi="Arial" w:cs="Arial"/>
          <w:sz w:val="23"/>
          <w:szCs w:val="23"/>
        </w:rPr>
        <w:t>e</w:t>
      </w:r>
      <w:r w:rsidRPr="00436442">
        <w:rPr>
          <w:rFonts w:ascii="Arial" w:hAnsi="Arial" w:cs="Arial"/>
          <w:sz w:val="23"/>
          <w:szCs w:val="23"/>
        </w:rPr>
        <w:t xml:space="preserve"> the </w:t>
      </w:r>
      <w:r w:rsidR="006660CD" w:rsidRPr="00436442">
        <w:rPr>
          <w:rFonts w:ascii="Arial" w:hAnsi="Arial" w:cs="Arial"/>
          <w:sz w:val="23"/>
          <w:szCs w:val="23"/>
        </w:rPr>
        <w:t>length of time</w:t>
      </w:r>
      <w:r w:rsidRPr="00436442">
        <w:rPr>
          <w:rFonts w:ascii="Arial" w:hAnsi="Arial" w:cs="Arial"/>
          <w:sz w:val="23"/>
          <w:szCs w:val="23"/>
        </w:rPr>
        <w:t xml:space="preserve"> for recruitment and appointments</w:t>
      </w:r>
      <w:r w:rsidR="002237BE" w:rsidRPr="00436442">
        <w:rPr>
          <w:rFonts w:ascii="Arial" w:hAnsi="Arial" w:cs="Arial"/>
          <w:sz w:val="23"/>
          <w:szCs w:val="23"/>
        </w:rPr>
        <w:t>.</w:t>
      </w:r>
    </w:p>
    <w:p w14:paraId="752F1B0C" w14:textId="77777777" w:rsidR="002237BE" w:rsidRPr="00436442" w:rsidRDefault="002237BE" w:rsidP="002237BE">
      <w:pPr>
        <w:pStyle w:val="NormalWeb"/>
        <w:spacing w:before="0" w:beforeAutospacing="0" w:after="0" w:afterAutospacing="0"/>
        <w:ind w:left="357"/>
        <w:rPr>
          <w:rFonts w:ascii="Arial" w:hAnsi="Arial" w:cs="Arial"/>
          <w:sz w:val="23"/>
          <w:szCs w:val="23"/>
        </w:rPr>
      </w:pPr>
    </w:p>
    <w:p w14:paraId="796EB635" w14:textId="1CB33C73" w:rsidR="002237BE" w:rsidRPr="00436442" w:rsidRDefault="002237BE" w:rsidP="002237BE">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Glasgow emphasise</w:t>
      </w:r>
      <w:r w:rsidR="00320CC5" w:rsidRPr="00436442">
        <w:rPr>
          <w:rFonts w:ascii="Arial" w:hAnsi="Arial" w:cs="Arial"/>
          <w:sz w:val="23"/>
          <w:szCs w:val="23"/>
        </w:rPr>
        <w:t>d</w:t>
      </w:r>
      <w:r w:rsidRPr="00436442">
        <w:rPr>
          <w:rFonts w:ascii="Arial" w:hAnsi="Arial" w:cs="Arial"/>
          <w:sz w:val="23"/>
          <w:szCs w:val="23"/>
        </w:rPr>
        <w:t xml:space="preserve"> the compliance issues which the new proposals will place on employers, many with no experience and </w:t>
      </w:r>
      <w:r w:rsidR="000C54CA" w:rsidRPr="00436442">
        <w:rPr>
          <w:rFonts w:ascii="Arial" w:hAnsi="Arial" w:cs="Arial"/>
          <w:sz w:val="23"/>
          <w:szCs w:val="23"/>
        </w:rPr>
        <w:t xml:space="preserve">/ </w:t>
      </w:r>
      <w:r w:rsidRPr="00436442">
        <w:rPr>
          <w:rFonts w:ascii="Arial" w:hAnsi="Arial" w:cs="Arial"/>
          <w:sz w:val="23"/>
          <w:szCs w:val="23"/>
        </w:rPr>
        <w:t>or resources to meet the</w:t>
      </w:r>
      <w:r w:rsidR="001E795D" w:rsidRPr="00436442">
        <w:rPr>
          <w:rFonts w:ascii="Arial" w:hAnsi="Arial" w:cs="Arial"/>
          <w:sz w:val="23"/>
          <w:szCs w:val="23"/>
        </w:rPr>
        <w:t xml:space="preserve"> requirements</w:t>
      </w:r>
      <w:r w:rsidR="008F071E" w:rsidRPr="00436442">
        <w:rPr>
          <w:rFonts w:ascii="Arial" w:hAnsi="Arial" w:cs="Arial"/>
          <w:sz w:val="23"/>
          <w:szCs w:val="23"/>
        </w:rPr>
        <w:t>.  This</w:t>
      </w:r>
      <w:r w:rsidRPr="00436442">
        <w:rPr>
          <w:rFonts w:ascii="Arial" w:hAnsi="Arial" w:cs="Arial"/>
          <w:sz w:val="23"/>
          <w:szCs w:val="23"/>
        </w:rPr>
        <w:t xml:space="preserve"> will be very challenging and the Government </w:t>
      </w:r>
      <w:r w:rsidR="008F071E" w:rsidRPr="00436442">
        <w:rPr>
          <w:rFonts w:ascii="Arial" w:hAnsi="Arial" w:cs="Arial"/>
          <w:sz w:val="23"/>
          <w:szCs w:val="23"/>
        </w:rPr>
        <w:t>must</w:t>
      </w:r>
      <w:r w:rsidRPr="00436442">
        <w:rPr>
          <w:rFonts w:ascii="Arial" w:hAnsi="Arial" w:cs="Arial"/>
          <w:sz w:val="23"/>
          <w:szCs w:val="23"/>
        </w:rPr>
        <w:t xml:space="preserve"> consider how it will equip employers with the </w:t>
      </w:r>
      <w:r w:rsidR="008F071E" w:rsidRPr="00436442">
        <w:rPr>
          <w:rFonts w:ascii="Arial" w:hAnsi="Arial" w:cs="Arial"/>
          <w:sz w:val="23"/>
          <w:szCs w:val="23"/>
        </w:rPr>
        <w:t xml:space="preserve">necessary </w:t>
      </w:r>
      <w:r w:rsidRPr="00436442">
        <w:rPr>
          <w:rFonts w:ascii="Arial" w:hAnsi="Arial" w:cs="Arial"/>
          <w:sz w:val="23"/>
          <w:szCs w:val="23"/>
        </w:rPr>
        <w:t xml:space="preserve">skills </w:t>
      </w:r>
      <w:r w:rsidR="008F071E" w:rsidRPr="00436442">
        <w:rPr>
          <w:rFonts w:ascii="Arial" w:hAnsi="Arial" w:cs="Arial"/>
          <w:sz w:val="23"/>
          <w:szCs w:val="23"/>
        </w:rPr>
        <w:t>in this regard</w:t>
      </w:r>
      <w:r w:rsidRPr="00436442">
        <w:rPr>
          <w:rFonts w:ascii="Arial" w:hAnsi="Arial" w:cs="Arial"/>
          <w:sz w:val="23"/>
          <w:szCs w:val="23"/>
        </w:rPr>
        <w:t>.  In addition, it should also consider how to reduce the financial cost on employers in meeting the</w:t>
      </w:r>
      <w:r w:rsidR="003C549B" w:rsidRPr="00436442">
        <w:rPr>
          <w:rFonts w:ascii="Arial" w:hAnsi="Arial" w:cs="Arial"/>
          <w:sz w:val="23"/>
          <w:szCs w:val="23"/>
        </w:rPr>
        <w:t xml:space="preserve"> requirements that are being set</w:t>
      </w:r>
      <w:r w:rsidRPr="00436442">
        <w:rPr>
          <w:rFonts w:ascii="Arial" w:hAnsi="Arial" w:cs="Arial"/>
          <w:sz w:val="23"/>
          <w:szCs w:val="23"/>
        </w:rPr>
        <w:t>.</w:t>
      </w:r>
    </w:p>
    <w:p w14:paraId="27510DE2" w14:textId="77777777" w:rsidR="002237BE" w:rsidRPr="00436442" w:rsidRDefault="002237BE" w:rsidP="002237BE">
      <w:pPr>
        <w:pStyle w:val="ListParagraph"/>
        <w:rPr>
          <w:rFonts w:ascii="Arial" w:hAnsi="Arial" w:cs="Arial"/>
          <w:sz w:val="23"/>
          <w:szCs w:val="23"/>
        </w:rPr>
      </w:pPr>
    </w:p>
    <w:p w14:paraId="79A25FC5" w14:textId="0911E347" w:rsidR="00CD7A39" w:rsidRPr="00436442" w:rsidRDefault="002237BE" w:rsidP="00CD7A39">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Scottish Borders state</w:t>
      </w:r>
      <w:r w:rsidR="003C549B" w:rsidRPr="00436442">
        <w:rPr>
          <w:rFonts w:ascii="Arial" w:hAnsi="Arial" w:cs="Arial"/>
          <w:sz w:val="23"/>
          <w:szCs w:val="23"/>
        </w:rPr>
        <w:t>d</w:t>
      </w:r>
      <w:r w:rsidRPr="00436442">
        <w:rPr>
          <w:rFonts w:ascii="Arial" w:hAnsi="Arial" w:cs="Arial"/>
          <w:sz w:val="23"/>
          <w:szCs w:val="23"/>
        </w:rPr>
        <w:t xml:space="preserve"> that any scheme needs to be as simple as possible, ensuring </w:t>
      </w:r>
      <w:r w:rsidR="00104E8C" w:rsidRPr="00436442">
        <w:rPr>
          <w:rFonts w:ascii="Arial" w:hAnsi="Arial" w:cs="Arial"/>
          <w:sz w:val="23"/>
          <w:szCs w:val="23"/>
        </w:rPr>
        <w:t xml:space="preserve">that </w:t>
      </w:r>
      <w:r w:rsidRPr="00436442">
        <w:rPr>
          <w:rFonts w:ascii="Arial" w:hAnsi="Arial" w:cs="Arial"/>
          <w:sz w:val="23"/>
          <w:szCs w:val="23"/>
        </w:rPr>
        <w:t>clear and easy access to guidance is available – at present it is difficult to navigate and find info</w:t>
      </w:r>
      <w:r w:rsidR="00F23A08" w:rsidRPr="00436442">
        <w:rPr>
          <w:rFonts w:ascii="Arial" w:hAnsi="Arial" w:cs="Arial"/>
          <w:sz w:val="23"/>
          <w:szCs w:val="23"/>
        </w:rPr>
        <w:t>rmation</w:t>
      </w:r>
      <w:r w:rsidRPr="00436442">
        <w:rPr>
          <w:rFonts w:ascii="Arial" w:hAnsi="Arial" w:cs="Arial"/>
          <w:sz w:val="23"/>
          <w:szCs w:val="23"/>
        </w:rPr>
        <w:t xml:space="preserve"> on the current UKVI website and phone support is very limited.  </w:t>
      </w:r>
      <w:r w:rsidR="009230CB">
        <w:rPr>
          <w:rFonts w:ascii="Arial" w:hAnsi="Arial" w:cs="Arial"/>
          <w:sz w:val="23"/>
          <w:szCs w:val="23"/>
        </w:rPr>
        <w:t xml:space="preserve">Falkirk also </w:t>
      </w:r>
      <w:r w:rsidR="00BE486A">
        <w:rPr>
          <w:rFonts w:ascii="Arial" w:hAnsi="Arial" w:cs="Arial"/>
          <w:sz w:val="23"/>
          <w:szCs w:val="23"/>
        </w:rPr>
        <w:t>highlighted difficulty in navigating and fi</w:t>
      </w:r>
      <w:r w:rsidR="00553282">
        <w:rPr>
          <w:rFonts w:ascii="Arial" w:hAnsi="Arial" w:cs="Arial"/>
          <w:sz w:val="23"/>
          <w:szCs w:val="23"/>
        </w:rPr>
        <w:t>n</w:t>
      </w:r>
      <w:r w:rsidR="00BE486A">
        <w:rPr>
          <w:rFonts w:ascii="Arial" w:hAnsi="Arial" w:cs="Arial"/>
          <w:sz w:val="23"/>
          <w:szCs w:val="23"/>
        </w:rPr>
        <w:t xml:space="preserve">ding information on </w:t>
      </w:r>
      <w:r w:rsidR="00553282">
        <w:rPr>
          <w:rFonts w:ascii="Arial" w:hAnsi="Arial" w:cs="Arial"/>
          <w:sz w:val="23"/>
          <w:szCs w:val="23"/>
        </w:rPr>
        <w:t>the current UKVI website and phone support is limited.</w:t>
      </w:r>
      <w:r w:rsidR="00BE486A">
        <w:rPr>
          <w:rFonts w:ascii="Arial" w:hAnsi="Arial" w:cs="Arial"/>
          <w:sz w:val="23"/>
          <w:szCs w:val="23"/>
        </w:rPr>
        <w:t xml:space="preserve"> </w:t>
      </w:r>
      <w:r w:rsidRPr="00436442">
        <w:rPr>
          <w:rFonts w:ascii="Arial" w:hAnsi="Arial" w:cs="Arial"/>
          <w:sz w:val="23"/>
          <w:szCs w:val="23"/>
        </w:rPr>
        <w:t>There is a strong need to make Scotland an attractive place to live and work for individuals and families so any process must be easy.</w:t>
      </w:r>
    </w:p>
    <w:p w14:paraId="654111AF" w14:textId="77777777" w:rsidR="00CD7A39" w:rsidRPr="00436442" w:rsidRDefault="00CD7A39" w:rsidP="00CD7A39">
      <w:pPr>
        <w:pStyle w:val="ListParagraph"/>
        <w:rPr>
          <w:rFonts w:ascii="Arial" w:hAnsi="Arial" w:cs="Arial"/>
          <w:sz w:val="23"/>
          <w:szCs w:val="23"/>
        </w:rPr>
      </w:pPr>
    </w:p>
    <w:p w14:paraId="7C5C16C7" w14:textId="66EB7D4A" w:rsidR="009B55BD" w:rsidRPr="00436442" w:rsidRDefault="00A0730E" w:rsidP="00CD7A39">
      <w:pPr>
        <w:pStyle w:val="NormalWeb"/>
        <w:numPr>
          <w:ilvl w:val="0"/>
          <w:numId w:val="2"/>
        </w:numPr>
        <w:spacing w:before="0" w:beforeAutospacing="0" w:after="0" w:afterAutospacing="0"/>
        <w:ind w:left="357"/>
        <w:rPr>
          <w:rFonts w:ascii="Arial" w:hAnsi="Arial" w:cs="Arial"/>
          <w:sz w:val="23"/>
          <w:szCs w:val="23"/>
        </w:rPr>
      </w:pPr>
      <w:r w:rsidRPr="00436442">
        <w:rPr>
          <w:rFonts w:ascii="Arial" w:hAnsi="Arial" w:cs="Arial"/>
          <w:sz w:val="23"/>
          <w:szCs w:val="23"/>
        </w:rPr>
        <w:t>Finally, t</w:t>
      </w:r>
      <w:r w:rsidR="008A455C" w:rsidRPr="00436442">
        <w:rPr>
          <w:rFonts w:ascii="Arial" w:hAnsi="Arial" w:cs="Arial"/>
          <w:sz w:val="23"/>
          <w:szCs w:val="23"/>
        </w:rPr>
        <w:t xml:space="preserve">here </w:t>
      </w:r>
      <w:r w:rsidR="00BB5087" w:rsidRPr="00436442">
        <w:rPr>
          <w:rFonts w:ascii="Arial" w:hAnsi="Arial" w:cs="Arial"/>
          <w:sz w:val="23"/>
          <w:szCs w:val="23"/>
        </w:rPr>
        <w:t>i</w:t>
      </w:r>
      <w:r w:rsidR="008A455C" w:rsidRPr="00436442">
        <w:rPr>
          <w:rFonts w:ascii="Arial" w:hAnsi="Arial" w:cs="Arial"/>
          <w:sz w:val="23"/>
          <w:szCs w:val="23"/>
        </w:rPr>
        <w:t xml:space="preserve">s concern that if there is no </w:t>
      </w:r>
      <w:r w:rsidR="000930DB" w:rsidRPr="00436442">
        <w:rPr>
          <w:rFonts w:ascii="Arial" w:hAnsi="Arial" w:cs="Arial"/>
          <w:sz w:val="23"/>
          <w:szCs w:val="23"/>
        </w:rPr>
        <w:t>increase in the number of Tier 2 visas available</w:t>
      </w:r>
      <w:r w:rsidR="008A455C" w:rsidRPr="00436442">
        <w:rPr>
          <w:rFonts w:ascii="Arial" w:hAnsi="Arial" w:cs="Arial"/>
          <w:sz w:val="23"/>
          <w:szCs w:val="23"/>
        </w:rPr>
        <w:t xml:space="preserve">, </w:t>
      </w:r>
      <w:r w:rsidR="000930DB" w:rsidRPr="00436442">
        <w:rPr>
          <w:rFonts w:ascii="Arial" w:hAnsi="Arial" w:cs="Arial"/>
          <w:sz w:val="23"/>
          <w:szCs w:val="23"/>
        </w:rPr>
        <w:t xml:space="preserve">a large number of Tier 2 visas will be </w:t>
      </w:r>
      <w:r w:rsidR="004126A4" w:rsidRPr="00436442">
        <w:rPr>
          <w:rFonts w:ascii="Arial" w:hAnsi="Arial" w:cs="Arial"/>
          <w:sz w:val="23"/>
          <w:szCs w:val="23"/>
        </w:rPr>
        <w:t>taken up</w:t>
      </w:r>
      <w:r w:rsidR="000930DB" w:rsidRPr="00436442">
        <w:rPr>
          <w:rFonts w:ascii="Arial" w:hAnsi="Arial" w:cs="Arial"/>
          <w:sz w:val="23"/>
          <w:szCs w:val="23"/>
        </w:rPr>
        <w:t xml:space="preserve"> by the NHS and London centric roles, </w:t>
      </w:r>
      <w:r w:rsidR="001573C4" w:rsidRPr="00436442">
        <w:rPr>
          <w:rFonts w:ascii="Arial" w:hAnsi="Arial" w:cs="Arial"/>
          <w:sz w:val="23"/>
          <w:szCs w:val="23"/>
        </w:rPr>
        <w:t>due to</w:t>
      </w:r>
      <w:r w:rsidR="00A331AC" w:rsidRPr="00436442">
        <w:rPr>
          <w:rFonts w:ascii="Arial" w:hAnsi="Arial" w:cs="Arial"/>
          <w:sz w:val="23"/>
          <w:szCs w:val="23"/>
        </w:rPr>
        <w:t xml:space="preserve"> </w:t>
      </w:r>
      <w:r w:rsidR="00FA0302" w:rsidRPr="00436442">
        <w:rPr>
          <w:rFonts w:ascii="Arial" w:hAnsi="Arial" w:cs="Arial"/>
          <w:sz w:val="23"/>
          <w:szCs w:val="23"/>
        </w:rPr>
        <w:t>the</w:t>
      </w:r>
      <w:r w:rsidR="00104E89" w:rsidRPr="00436442">
        <w:rPr>
          <w:rFonts w:ascii="Arial" w:hAnsi="Arial" w:cs="Arial"/>
          <w:sz w:val="23"/>
          <w:szCs w:val="23"/>
        </w:rPr>
        <w:t xml:space="preserve"> </w:t>
      </w:r>
      <w:r w:rsidR="00FA0302" w:rsidRPr="00436442">
        <w:rPr>
          <w:rFonts w:ascii="Arial" w:hAnsi="Arial" w:cs="Arial"/>
          <w:sz w:val="23"/>
          <w:szCs w:val="23"/>
        </w:rPr>
        <w:t xml:space="preserve">significant </w:t>
      </w:r>
      <w:r w:rsidR="001B0B49" w:rsidRPr="00436442">
        <w:rPr>
          <w:rFonts w:ascii="Arial" w:hAnsi="Arial" w:cs="Arial"/>
          <w:sz w:val="23"/>
          <w:szCs w:val="23"/>
        </w:rPr>
        <w:t xml:space="preserve">number of </w:t>
      </w:r>
      <w:r w:rsidR="000930DB" w:rsidRPr="00436442">
        <w:rPr>
          <w:rFonts w:ascii="Arial" w:hAnsi="Arial" w:cs="Arial"/>
          <w:sz w:val="23"/>
          <w:szCs w:val="23"/>
        </w:rPr>
        <w:t xml:space="preserve">English NHS staff </w:t>
      </w:r>
      <w:r w:rsidR="001B0B49" w:rsidRPr="00436442">
        <w:rPr>
          <w:rFonts w:ascii="Arial" w:hAnsi="Arial" w:cs="Arial"/>
          <w:sz w:val="23"/>
          <w:szCs w:val="23"/>
        </w:rPr>
        <w:t xml:space="preserve">who </w:t>
      </w:r>
      <w:r w:rsidR="000930DB" w:rsidRPr="00436442">
        <w:rPr>
          <w:rFonts w:ascii="Arial" w:hAnsi="Arial" w:cs="Arial"/>
          <w:sz w:val="23"/>
          <w:szCs w:val="23"/>
        </w:rPr>
        <w:t>are from the EU</w:t>
      </w:r>
      <w:r w:rsidR="001B0B49" w:rsidRPr="00436442">
        <w:rPr>
          <w:rFonts w:ascii="Arial" w:hAnsi="Arial" w:cs="Arial"/>
          <w:sz w:val="23"/>
          <w:szCs w:val="23"/>
        </w:rPr>
        <w:t xml:space="preserve"> (c. 55,000)</w:t>
      </w:r>
      <w:r w:rsidR="0099675B" w:rsidRPr="00436442">
        <w:rPr>
          <w:rFonts w:ascii="Arial" w:hAnsi="Arial" w:cs="Arial"/>
          <w:sz w:val="23"/>
          <w:szCs w:val="23"/>
        </w:rPr>
        <w:t xml:space="preserve">, and the </w:t>
      </w:r>
      <w:r w:rsidR="0091221C" w:rsidRPr="00436442">
        <w:rPr>
          <w:rFonts w:ascii="Arial" w:hAnsi="Arial" w:cs="Arial"/>
          <w:sz w:val="23"/>
          <w:szCs w:val="23"/>
        </w:rPr>
        <w:t>size of the EU population in London / England as a whole</w:t>
      </w:r>
      <w:r w:rsidR="000930DB" w:rsidRPr="00436442">
        <w:rPr>
          <w:rFonts w:ascii="Arial" w:hAnsi="Arial" w:cs="Arial"/>
          <w:sz w:val="23"/>
          <w:szCs w:val="23"/>
        </w:rPr>
        <w:t xml:space="preserve">. </w:t>
      </w:r>
      <w:r w:rsidR="00ED7E15" w:rsidRPr="00436442">
        <w:rPr>
          <w:rFonts w:ascii="Arial" w:hAnsi="Arial" w:cs="Arial"/>
          <w:sz w:val="23"/>
          <w:szCs w:val="23"/>
        </w:rPr>
        <w:t xml:space="preserve"> </w:t>
      </w:r>
      <w:r w:rsidR="000930DB" w:rsidRPr="00436442">
        <w:rPr>
          <w:rFonts w:ascii="Arial" w:hAnsi="Arial" w:cs="Arial"/>
          <w:sz w:val="23"/>
          <w:szCs w:val="23"/>
        </w:rPr>
        <w:t xml:space="preserve">Given the number of SOL occupations within the NHS and academia and the proposed emerging occupations within building trades, we could </w:t>
      </w:r>
      <w:r w:rsidR="001549B3" w:rsidRPr="00436442">
        <w:rPr>
          <w:rFonts w:ascii="Arial" w:hAnsi="Arial" w:cs="Arial"/>
          <w:sz w:val="23"/>
          <w:szCs w:val="23"/>
        </w:rPr>
        <w:t>envisage</w:t>
      </w:r>
      <w:r w:rsidR="000930DB" w:rsidRPr="00436442">
        <w:rPr>
          <w:rFonts w:ascii="Arial" w:hAnsi="Arial" w:cs="Arial"/>
          <w:sz w:val="23"/>
          <w:szCs w:val="23"/>
        </w:rPr>
        <w:t xml:space="preserve"> the number of ‘remaining’ visas </w:t>
      </w:r>
      <w:r w:rsidR="001549B3" w:rsidRPr="00436442">
        <w:rPr>
          <w:rFonts w:ascii="Arial" w:hAnsi="Arial" w:cs="Arial"/>
          <w:sz w:val="23"/>
          <w:szCs w:val="23"/>
        </w:rPr>
        <w:t xml:space="preserve">being </w:t>
      </w:r>
      <w:r w:rsidR="000930DB" w:rsidRPr="00436442">
        <w:rPr>
          <w:rFonts w:ascii="Arial" w:hAnsi="Arial" w:cs="Arial"/>
          <w:sz w:val="23"/>
          <w:szCs w:val="23"/>
        </w:rPr>
        <w:t xml:space="preserve">at a premium. </w:t>
      </w:r>
      <w:r w:rsidR="001549B3" w:rsidRPr="00436442">
        <w:rPr>
          <w:rFonts w:ascii="Arial" w:hAnsi="Arial" w:cs="Arial"/>
          <w:sz w:val="23"/>
          <w:szCs w:val="23"/>
        </w:rPr>
        <w:t xml:space="preserve"> </w:t>
      </w:r>
      <w:r w:rsidR="008A455C" w:rsidRPr="00436442">
        <w:rPr>
          <w:rFonts w:ascii="Arial" w:hAnsi="Arial" w:cs="Arial"/>
          <w:sz w:val="23"/>
          <w:szCs w:val="23"/>
        </w:rPr>
        <w:t>Ea</w:t>
      </w:r>
      <w:r w:rsidR="001507F4" w:rsidRPr="00436442">
        <w:rPr>
          <w:rFonts w:ascii="Arial" w:hAnsi="Arial" w:cs="Arial"/>
          <w:sz w:val="23"/>
          <w:szCs w:val="23"/>
        </w:rPr>
        <w:t>s</w:t>
      </w:r>
      <w:r w:rsidR="008A455C" w:rsidRPr="00436442">
        <w:rPr>
          <w:rFonts w:ascii="Arial" w:hAnsi="Arial" w:cs="Arial"/>
          <w:sz w:val="23"/>
          <w:szCs w:val="23"/>
        </w:rPr>
        <w:t xml:space="preserve">t Lothian </w:t>
      </w:r>
      <w:r w:rsidR="001549B3" w:rsidRPr="00436442">
        <w:rPr>
          <w:rFonts w:ascii="Arial" w:hAnsi="Arial" w:cs="Arial"/>
          <w:sz w:val="23"/>
          <w:szCs w:val="23"/>
        </w:rPr>
        <w:t xml:space="preserve">Council </w:t>
      </w:r>
      <w:r w:rsidR="008A455C" w:rsidRPr="00436442">
        <w:rPr>
          <w:rFonts w:ascii="Arial" w:hAnsi="Arial" w:cs="Arial"/>
          <w:sz w:val="23"/>
          <w:szCs w:val="23"/>
        </w:rPr>
        <w:t xml:space="preserve">suggested </w:t>
      </w:r>
      <w:r w:rsidR="005E66DA" w:rsidRPr="00436442">
        <w:rPr>
          <w:rFonts w:ascii="Arial" w:hAnsi="Arial" w:cs="Arial"/>
          <w:sz w:val="23"/>
          <w:szCs w:val="23"/>
        </w:rPr>
        <w:t xml:space="preserve">in their response to us </w:t>
      </w:r>
      <w:r w:rsidR="008A455C" w:rsidRPr="00436442">
        <w:rPr>
          <w:rFonts w:ascii="Arial" w:hAnsi="Arial" w:cs="Arial"/>
          <w:sz w:val="23"/>
          <w:szCs w:val="23"/>
        </w:rPr>
        <w:t>that if</w:t>
      </w:r>
      <w:r w:rsidR="000930DB" w:rsidRPr="00436442">
        <w:rPr>
          <w:rFonts w:ascii="Arial" w:hAnsi="Arial" w:cs="Arial"/>
          <w:sz w:val="23"/>
          <w:szCs w:val="23"/>
        </w:rPr>
        <w:t xml:space="preserve"> the volume of SOL occupations increase</w:t>
      </w:r>
      <w:r w:rsidR="00702BDC" w:rsidRPr="00436442">
        <w:rPr>
          <w:rFonts w:ascii="Arial" w:hAnsi="Arial" w:cs="Arial"/>
          <w:sz w:val="23"/>
          <w:szCs w:val="23"/>
        </w:rPr>
        <w:t>s,</w:t>
      </w:r>
      <w:r w:rsidR="000930DB" w:rsidRPr="00436442">
        <w:rPr>
          <w:rFonts w:ascii="Arial" w:hAnsi="Arial" w:cs="Arial"/>
          <w:sz w:val="23"/>
          <w:szCs w:val="23"/>
        </w:rPr>
        <w:t xml:space="preserve"> so should the volume of visas available, or consideration </w:t>
      </w:r>
      <w:r w:rsidR="00227B3D" w:rsidRPr="00436442">
        <w:rPr>
          <w:rFonts w:ascii="Arial" w:hAnsi="Arial" w:cs="Arial"/>
          <w:sz w:val="23"/>
          <w:szCs w:val="23"/>
        </w:rPr>
        <w:t xml:space="preserve">should be </w:t>
      </w:r>
      <w:r w:rsidR="000930DB" w:rsidRPr="00436442">
        <w:rPr>
          <w:rFonts w:ascii="Arial" w:hAnsi="Arial" w:cs="Arial"/>
          <w:sz w:val="23"/>
          <w:szCs w:val="23"/>
        </w:rPr>
        <w:t xml:space="preserve">given to certain roles within the SOL not requiring to be limited and as such not included in the </w:t>
      </w:r>
      <w:r w:rsidR="00071AB2" w:rsidRPr="00436442">
        <w:rPr>
          <w:rFonts w:ascii="Arial" w:hAnsi="Arial" w:cs="Arial"/>
          <w:sz w:val="23"/>
          <w:szCs w:val="23"/>
        </w:rPr>
        <w:t>T</w:t>
      </w:r>
      <w:r w:rsidR="000930DB" w:rsidRPr="00436442">
        <w:rPr>
          <w:rFonts w:ascii="Arial" w:hAnsi="Arial" w:cs="Arial"/>
          <w:sz w:val="23"/>
          <w:szCs w:val="23"/>
        </w:rPr>
        <w:t>ier 2 visa quota e.g. certain medical occupations.</w:t>
      </w:r>
    </w:p>
    <w:p w14:paraId="53F77D77" w14:textId="26EA62C9" w:rsidR="00F403D6" w:rsidRPr="00436442" w:rsidRDefault="00F403D6" w:rsidP="00F403D6">
      <w:pPr>
        <w:pStyle w:val="NormalWeb"/>
        <w:rPr>
          <w:rFonts w:ascii="Arial" w:hAnsi="Arial" w:cs="Arial"/>
          <w:b/>
          <w:bCs/>
          <w:sz w:val="23"/>
          <w:szCs w:val="23"/>
        </w:rPr>
      </w:pPr>
      <w:r w:rsidRPr="00436442">
        <w:rPr>
          <w:rFonts w:ascii="Arial" w:hAnsi="Arial" w:cs="Arial"/>
          <w:b/>
          <w:bCs/>
          <w:sz w:val="23"/>
          <w:szCs w:val="23"/>
        </w:rPr>
        <w:t xml:space="preserve">Conclusion </w:t>
      </w:r>
    </w:p>
    <w:p w14:paraId="23DA779C" w14:textId="77777777" w:rsidR="00235CC1" w:rsidRDefault="008E30F8" w:rsidP="00EB3E43">
      <w:pPr>
        <w:pStyle w:val="NormalWeb"/>
        <w:numPr>
          <w:ilvl w:val="0"/>
          <w:numId w:val="2"/>
        </w:numPr>
        <w:spacing w:before="0" w:beforeAutospacing="0" w:after="0" w:afterAutospacing="0"/>
        <w:rPr>
          <w:rFonts w:ascii="Arial" w:hAnsi="Arial" w:cs="Arial"/>
          <w:sz w:val="23"/>
          <w:szCs w:val="23"/>
        </w:rPr>
      </w:pPr>
      <w:r w:rsidRPr="00436442">
        <w:rPr>
          <w:rFonts w:ascii="Arial" w:hAnsi="Arial" w:cs="Arial"/>
          <w:sz w:val="23"/>
          <w:szCs w:val="23"/>
        </w:rPr>
        <w:t xml:space="preserve">While </w:t>
      </w:r>
      <w:r w:rsidR="00F403D6" w:rsidRPr="00436442">
        <w:rPr>
          <w:rFonts w:ascii="Arial" w:hAnsi="Arial" w:cs="Arial"/>
          <w:sz w:val="23"/>
          <w:szCs w:val="23"/>
        </w:rPr>
        <w:t>COSLA</w:t>
      </w:r>
      <w:r w:rsidR="00F526B6" w:rsidRPr="00436442">
        <w:rPr>
          <w:rFonts w:ascii="Arial" w:hAnsi="Arial" w:cs="Arial"/>
          <w:sz w:val="23"/>
          <w:szCs w:val="23"/>
        </w:rPr>
        <w:t>’s position</w:t>
      </w:r>
      <w:r w:rsidRPr="00436442">
        <w:rPr>
          <w:rFonts w:ascii="Arial" w:hAnsi="Arial" w:cs="Arial"/>
          <w:sz w:val="23"/>
          <w:szCs w:val="23"/>
        </w:rPr>
        <w:t xml:space="preserve"> has been, and remains, that </w:t>
      </w:r>
      <w:r w:rsidR="00F403D6" w:rsidRPr="00436442">
        <w:rPr>
          <w:rFonts w:ascii="Arial" w:hAnsi="Arial" w:cs="Arial"/>
          <w:sz w:val="23"/>
          <w:szCs w:val="23"/>
        </w:rPr>
        <w:t>the continuation of freedom of movement would be the most advantageous system for Scotland</w:t>
      </w:r>
      <w:r w:rsidR="00936B76" w:rsidRPr="00436442">
        <w:rPr>
          <w:rFonts w:ascii="Arial" w:hAnsi="Arial" w:cs="Arial"/>
          <w:sz w:val="23"/>
          <w:szCs w:val="23"/>
        </w:rPr>
        <w:t>, w</w:t>
      </w:r>
      <w:r w:rsidR="0083461C" w:rsidRPr="00436442">
        <w:rPr>
          <w:rFonts w:ascii="Arial" w:hAnsi="Arial" w:cs="Arial"/>
          <w:sz w:val="23"/>
          <w:szCs w:val="23"/>
        </w:rPr>
        <w:t>e are also</w:t>
      </w:r>
      <w:r w:rsidR="00DF264C" w:rsidRPr="00436442">
        <w:rPr>
          <w:rFonts w:ascii="Arial" w:hAnsi="Arial" w:cs="Arial"/>
          <w:sz w:val="23"/>
          <w:szCs w:val="23"/>
        </w:rPr>
        <w:t xml:space="preserve"> clear that </w:t>
      </w:r>
      <w:r w:rsidR="00AF3AAA" w:rsidRPr="00436442">
        <w:rPr>
          <w:rFonts w:ascii="Arial" w:hAnsi="Arial" w:cs="Arial"/>
          <w:sz w:val="23"/>
          <w:szCs w:val="23"/>
        </w:rPr>
        <w:t xml:space="preserve">Scotland needs a </w:t>
      </w:r>
      <w:r w:rsidR="00F403D6" w:rsidRPr="00436442">
        <w:rPr>
          <w:rFonts w:ascii="Arial" w:hAnsi="Arial" w:cs="Arial"/>
          <w:sz w:val="23"/>
          <w:szCs w:val="23"/>
        </w:rPr>
        <w:t xml:space="preserve">more flexible </w:t>
      </w:r>
      <w:r w:rsidR="00AF3AAA" w:rsidRPr="00436442">
        <w:rPr>
          <w:rFonts w:ascii="Arial" w:hAnsi="Arial" w:cs="Arial"/>
          <w:sz w:val="23"/>
          <w:szCs w:val="23"/>
        </w:rPr>
        <w:t xml:space="preserve">immigration </w:t>
      </w:r>
      <w:r w:rsidR="00F403D6" w:rsidRPr="00436442">
        <w:rPr>
          <w:rFonts w:ascii="Arial" w:hAnsi="Arial" w:cs="Arial"/>
          <w:sz w:val="23"/>
          <w:szCs w:val="23"/>
        </w:rPr>
        <w:t xml:space="preserve">system that </w:t>
      </w:r>
      <w:r w:rsidR="00783254" w:rsidRPr="00436442">
        <w:rPr>
          <w:rFonts w:ascii="Arial" w:hAnsi="Arial" w:cs="Arial"/>
          <w:sz w:val="23"/>
          <w:szCs w:val="23"/>
        </w:rPr>
        <w:t>works for every part of the country</w:t>
      </w:r>
      <w:r w:rsidR="00F403D6" w:rsidRPr="00436442">
        <w:rPr>
          <w:rFonts w:ascii="Arial" w:hAnsi="Arial" w:cs="Arial"/>
          <w:sz w:val="23"/>
          <w:szCs w:val="23"/>
        </w:rPr>
        <w:t xml:space="preserve">.  </w:t>
      </w:r>
      <w:r w:rsidR="000037C8" w:rsidRPr="00436442">
        <w:rPr>
          <w:rFonts w:ascii="Arial" w:hAnsi="Arial" w:cs="Arial"/>
          <w:sz w:val="23"/>
          <w:szCs w:val="23"/>
        </w:rPr>
        <w:t>COSLA and our member authorities</w:t>
      </w:r>
      <w:r w:rsidR="000C36B2" w:rsidRPr="00436442">
        <w:rPr>
          <w:rFonts w:ascii="Arial" w:hAnsi="Arial" w:cs="Arial"/>
          <w:sz w:val="23"/>
          <w:szCs w:val="23"/>
        </w:rPr>
        <w:t xml:space="preserve"> </w:t>
      </w:r>
      <w:r w:rsidR="005A6EF3" w:rsidRPr="00436442">
        <w:rPr>
          <w:rFonts w:ascii="Arial" w:hAnsi="Arial" w:cs="Arial"/>
          <w:sz w:val="23"/>
          <w:szCs w:val="23"/>
        </w:rPr>
        <w:t xml:space="preserve">therefore </w:t>
      </w:r>
      <w:r w:rsidR="00F403D6" w:rsidRPr="00436442">
        <w:rPr>
          <w:rFonts w:ascii="Arial" w:hAnsi="Arial" w:cs="Arial"/>
          <w:sz w:val="23"/>
          <w:szCs w:val="23"/>
        </w:rPr>
        <w:t>w</w:t>
      </w:r>
      <w:r w:rsidR="00727D01" w:rsidRPr="00436442">
        <w:rPr>
          <w:rFonts w:ascii="Arial" w:hAnsi="Arial" w:cs="Arial"/>
          <w:sz w:val="23"/>
          <w:szCs w:val="23"/>
        </w:rPr>
        <w:t>ant</w:t>
      </w:r>
      <w:r w:rsidR="00F403D6" w:rsidRPr="00436442">
        <w:rPr>
          <w:rFonts w:ascii="Arial" w:hAnsi="Arial" w:cs="Arial"/>
          <w:sz w:val="23"/>
          <w:szCs w:val="23"/>
        </w:rPr>
        <w:t xml:space="preserve"> to see </w:t>
      </w:r>
      <w:r w:rsidR="00C63ACE" w:rsidRPr="00436442">
        <w:rPr>
          <w:rFonts w:ascii="Arial" w:hAnsi="Arial" w:cs="Arial"/>
          <w:sz w:val="23"/>
          <w:szCs w:val="23"/>
        </w:rPr>
        <w:t xml:space="preserve">the introduction of </w:t>
      </w:r>
      <w:r w:rsidR="00F403D6" w:rsidRPr="00436442">
        <w:rPr>
          <w:rFonts w:ascii="Arial" w:hAnsi="Arial" w:cs="Arial"/>
          <w:sz w:val="23"/>
          <w:szCs w:val="23"/>
        </w:rPr>
        <w:t>an immigration system that can take account of t</w:t>
      </w:r>
      <w:r w:rsidR="002E4515" w:rsidRPr="00436442">
        <w:rPr>
          <w:rFonts w:ascii="Arial" w:hAnsi="Arial" w:cs="Arial"/>
          <w:sz w:val="23"/>
          <w:szCs w:val="23"/>
        </w:rPr>
        <w:t>he</w:t>
      </w:r>
      <w:r w:rsidR="00F403D6" w:rsidRPr="00436442">
        <w:rPr>
          <w:rFonts w:ascii="Arial" w:hAnsi="Arial" w:cs="Arial"/>
          <w:sz w:val="23"/>
          <w:szCs w:val="23"/>
        </w:rPr>
        <w:t xml:space="preserve"> diversity </w:t>
      </w:r>
      <w:r w:rsidR="00933B17" w:rsidRPr="00436442">
        <w:rPr>
          <w:rFonts w:ascii="Arial" w:hAnsi="Arial" w:cs="Arial"/>
          <w:sz w:val="23"/>
          <w:szCs w:val="23"/>
        </w:rPr>
        <w:t xml:space="preserve">that exists </w:t>
      </w:r>
      <w:r w:rsidR="00F403D6" w:rsidRPr="00436442">
        <w:rPr>
          <w:rFonts w:ascii="Arial" w:hAnsi="Arial" w:cs="Arial"/>
          <w:sz w:val="23"/>
          <w:szCs w:val="23"/>
        </w:rPr>
        <w:t>within Scotland</w:t>
      </w:r>
      <w:r w:rsidR="00EA5AF7" w:rsidRPr="00436442">
        <w:rPr>
          <w:rFonts w:ascii="Arial" w:hAnsi="Arial" w:cs="Arial"/>
          <w:sz w:val="23"/>
          <w:szCs w:val="23"/>
        </w:rPr>
        <w:t>,</w:t>
      </w:r>
      <w:r w:rsidR="00D77F12" w:rsidRPr="00436442">
        <w:rPr>
          <w:rFonts w:ascii="Arial" w:hAnsi="Arial" w:cs="Arial"/>
          <w:sz w:val="23"/>
          <w:szCs w:val="23"/>
        </w:rPr>
        <w:t xml:space="preserve"> and</w:t>
      </w:r>
      <w:r w:rsidR="00EA5AF7" w:rsidRPr="00436442">
        <w:rPr>
          <w:rFonts w:ascii="Arial" w:hAnsi="Arial" w:cs="Arial"/>
          <w:sz w:val="23"/>
          <w:szCs w:val="23"/>
        </w:rPr>
        <w:t xml:space="preserve"> that is</w:t>
      </w:r>
      <w:r w:rsidR="00F403D6" w:rsidRPr="00436442">
        <w:rPr>
          <w:rFonts w:ascii="Arial" w:hAnsi="Arial" w:cs="Arial"/>
          <w:sz w:val="23"/>
          <w:szCs w:val="23"/>
        </w:rPr>
        <w:t xml:space="preserve"> responsive to </w:t>
      </w:r>
      <w:r w:rsidR="005F3551" w:rsidRPr="00436442">
        <w:rPr>
          <w:rFonts w:ascii="Arial" w:hAnsi="Arial" w:cs="Arial"/>
          <w:sz w:val="23"/>
          <w:szCs w:val="23"/>
        </w:rPr>
        <w:t xml:space="preserve">the </w:t>
      </w:r>
      <w:r w:rsidR="00E85F06" w:rsidRPr="00436442">
        <w:rPr>
          <w:rFonts w:ascii="Arial" w:hAnsi="Arial" w:cs="Arial"/>
          <w:sz w:val="23"/>
          <w:szCs w:val="23"/>
        </w:rPr>
        <w:t xml:space="preserve">economic and demographic challenges </w:t>
      </w:r>
      <w:r w:rsidR="0073059D" w:rsidRPr="00436442">
        <w:rPr>
          <w:rFonts w:ascii="Arial" w:hAnsi="Arial" w:cs="Arial"/>
          <w:sz w:val="23"/>
          <w:szCs w:val="23"/>
        </w:rPr>
        <w:t>faced by different parts of the country.</w:t>
      </w:r>
    </w:p>
    <w:p w14:paraId="0BD5D2FD" w14:textId="77777777" w:rsidR="00235CC1" w:rsidRDefault="00235CC1" w:rsidP="00235CC1">
      <w:pPr>
        <w:pStyle w:val="NormalWeb"/>
        <w:spacing w:before="0" w:beforeAutospacing="0" w:after="0" w:afterAutospacing="0"/>
        <w:ind w:left="360"/>
        <w:rPr>
          <w:rFonts w:ascii="Arial" w:hAnsi="Arial" w:cs="Arial"/>
          <w:sz w:val="23"/>
          <w:szCs w:val="23"/>
        </w:rPr>
      </w:pPr>
    </w:p>
    <w:p w14:paraId="5A0AF326" w14:textId="6F61989E" w:rsidR="00EB3E43" w:rsidRPr="00EB3E43" w:rsidRDefault="00E4396D" w:rsidP="00555341">
      <w:pPr>
        <w:pStyle w:val="NormalWeb"/>
        <w:numPr>
          <w:ilvl w:val="0"/>
          <w:numId w:val="2"/>
        </w:numPr>
        <w:tabs>
          <w:tab w:val="left" w:pos="6946"/>
        </w:tabs>
        <w:spacing w:before="0" w:beforeAutospacing="0" w:after="0" w:afterAutospacing="0"/>
        <w:rPr>
          <w:rFonts w:ascii="Arial" w:hAnsi="Arial" w:cs="Arial"/>
          <w:sz w:val="23"/>
          <w:szCs w:val="23"/>
        </w:rPr>
      </w:pPr>
      <w:r w:rsidRPr="00436442">
        <w:rPr>
          <w:rFonts w:ascii="Arial" w:hAnsi="Arial" w:cs="Arial"/>
          <w:sz w:val="23"/>
          <w:szCs w:val="23"/>
        </w:rPr>
        <w:t xml:space="preserve">It is critical that Scottish Local Government’s needs are recognised and reflected in </w:t>
      </w:r>
      <w:r w:rsidR="002A718F">
        <w:rPr>
          <w:rFonts w:ascii="Arial" w:hAnsi="Arial" w:cs="Arial"/>
          <w:sz w:val="23"/>
          <w:szCs w:val="23"/>
        </w:rPr>
        <w:t>what</w:t>
      </w:r>
      <w:r w:rsidR="001A4F54">
        <w:rPr>
          <w:rFonts w:ascii="Arial" w:hAnsi="Arial" w:cs="Arial"/>
          <w:sz w:val="23"/>
          <w:szCs w:val="23"/>
        </w:rPr>
        <w:t>ever</w:t>
      </w:r>
      <w:r w:rsidRPr="00436442">
        <w:rPr>
          <w:rFonts w:ascii="Arial" w:hAnsi="Arial" w:cs="Arial"/>
          <w:sz w:val="23"/>
          <w:szCs w:val="23"/>
        </w:rPr>
        <w:t xml:space="preserve"> immigration system is developed as a result of Brexit.  </w:t>
      </w:r>
      <w:r w:rsidR="00C861CE" w:rsidRPr="00436442">
        <w:rPr>
          <w:rFonts w:ascii="Arial" w:hAnsi="Arial" w:cs="Arial"/>
          <w:sz w:val="23"/>
          <w:szCs w:val="23"/>
        </w:rPr>
        <w:t>A well</w:t>
      </w:r>
      <w:r w:rsidR="009A3ED2" w:rsidRPr="00436442">
        <w:rPr>
          <w:rFonts w:ascii="Arial" w:hAnsi="Arial" w:cs="Arial"/>
          <w:sz w:val="23"/>
          <w:szCs w:val="23"/>
        </w:rPr>
        <w:t>-</w:t>
      </w:r>
      <w:r w:rsidR="00C861CE" w:rsidRPr="00436442">
        <w:rPr>
          <w:rFonts w:ascii="Arial" w:hAnsi="Arial" w:cs="Arial"/>
          <w:sz w:val="23"/>
          <w:szCs w:val="23"/>
        </w:rPr>
        <w:t xml:space="preserve">designed </w:t>
      </w:r>
      <w:r w:rsidR="00C861CE" w:rsidRPr="00436442">
        <w:rPr>
          <w:rFonts w:ascii="Arial" w:hAnsi="Arial" w:cs="Arial"/>
          <w:sz w:val="23"/>
          <w:szCs w:val="23"/>
        </w:rPr>
        <w:lastRenderedPageBreak/>
        <w:t>immigration</w:t>
      </w:r>
      <w:r w:rsidR="00D77F12" w:rsidRPr="00436442">
        <w:rPr>
          <w:rFonts w:ascii="Arial" w:hAnsi="Arial" w:cs="Arial"/>
          <w:sz w:val="23"/>
          <w:szCs w:val="23"/>
        </w:rPr>
        <w:t xml:space="preserve"> system</w:t>
      </w:r>
      <w:r w:rsidR="0089756F">
        <w:rPr>
          <w:rFonts w:ascii="Arial" w:hAnsi="Arial" w:cs="Arial"/>
          <w:sz w:val="23"/>
          <w:szCs w:val="23"/>
        </w:rPr>
        <w:t xml:space="preserve">, developed in </w:t>
      </w:r>
      <w:r w:rsidR="00243866">
        <w:rPr>
          <w:rFonts w:ascii="Arial" w:hAnsi="Arial" w:cs="Arial"/>
          <w:sz w:val="23"/>
          <w:szCs w:val="23"/>
        </w:rPr>
        <w:t>consultation with</w:t>
      </w:r>
      <w:r w:rsidR="009004A0">
        <w:rPr>
          <w:rFonts w:ascii="Arial" w:hAnsi="Arial" w:cs="Arial"/>
          <w:sz w:val="23"/>
          <w:szCs w:val="23"/>
        </w:rPr>
        <w:t xml:space="preserve"> </w:t>
      </w:r>
      <w:r w:rsidR="00243866">
        <w:rPr>
          <w:rFonts w:ascii="Arial" w:hAnsi="Arial" w:cs="Arial"/>
          <w:sz w:val="23"/>
          <w:szCs w:val="23"/>
        </w:rPr>
        <w:t>L</w:t>
      </w:r>
      <w:r w:rsidR="009004A0">
        <w:rPr>
          <w:rFonts w:ascii="Arial" w:hAnsi="Arial" w:cs="Arial"/>
          <w:sz w:val="23"/>
          <w:szCs w:val="23"/>
        </w:rPr>
        <w:t xml:space="preserve">ocal </w:t>
      </w:r>
      <w:r w:rsidR="00243866">
        <w:rPr>
          <w:rFonts w:ascii="Arial" w:hAnsi="Arial" w:cs="Arial"/>
          <w:sz w:val="23"/>
          <w:szCs w:val="23"/>
        </w:rPr>
        <w:t>G</w:t>
      </w:r>
      <w:r w:rsidR="0089756F">
        <w:rPr>
          <w:rFonts w:ascii="Arial" w:hAnsi="Arial" w:cs="Arial"/>
          <w:sz w:val="23"/>
          <w:szCs w:val="23"/>
        </w:rPr>
        <w:t>overnment</w:t>
      </w:r>
      <w:r w:rsidR="00B640FC">
        <w:rPr>
          <w:rFonts w:ascii="Arial" w:hAnsi="Arial" w:cs="Arial"/>
          <w:sz w:val="23"/>
          <w:szCs w:val="23"/>
        </w:rPr>
        <w:t xml:space="preserve"> and other key stakeholders</w:t>
      </w:r>
      <w:r w:rsidR="0089756F">
        <w:rPr>
          <w:rFonts w:ascii="Arial" w:hAnsi="Arial" w:cs="Arial"/>
          <w:sz w:val="23"/>
          <w:szCs w:val="23"/>
        </w:rPr>
        <w:t xml:space="preserve">, </w:t>
      </w:r>
      <w:r w:rsidR="00D77F12" w:rsidRPr="00436442">
        <w:rPr>
          <w:rFonts w:ascii="Arial" w:hAnsi="Arial" w:cs="Arial"/>
          <w:sz w:val="23"/>
          <w:szCs w:val="23"/>
        </w:rPr>
        <w:t xml:space="preserve">can play a </w:t>
      </w:r>
      <w:r w:rsidR="00354953">
        <w:rPr>
          <w:rFonts w:ascii="Arial" w:hAnsi="Arial" w:cs="Arial"/>
          <w:sz w:val="23"/>
          <w:szCs w:val="23"/>
        </w:rPr>
        <w:t>crucial</w:t>
      </w:r>
      <w:r w:rsidR="00D77F12" w:rsidRPr="00436442">
        <w:rPr>
          <w:rFonts w:ascii="Arial" w:hAnsi="Arial" w:cs="Arial"/>
          <w:sz w:val="23"/>
          <w:szCs w:val="23"/>
        </w:rPr>
        <w:t xml:space="preserve"> role in</w:t>
      </w:r>
      <w:r w:rsidR="00DE242B" w:rsidRPr="00436442">
        <w:rPr>
          <w:rFonts w:ascii="Arial" w:hAnsi="Arial" w:cs="Arial"/>
          <w:sz w:val="23"/>
          <w:szCs w:val="23"/>
        </w:rPr>
        <w:t xml:space="preserve"> </w:t>
      </w:r>
      <w:r w:rsidR="00CF0DC7" w:rsidRPr="00436442">
        <w:rPr>
          <w:rFonts w:ascii="Arial" w:hAnsi="Arial" w:cs="Arial"/>
          <w:sz w:val="23"/>
          <w:szCs w:val="23"/>
        </w:rPr>
        <w:t xml:space="preserve">delivering sustainable </w:t>
      </w:r>
      <w:r w:rsidR="00E23DD4" w:rsidRPr="00436442">
        <w:rPr>
          <w:rFonts w:ascii="Arial" w:hAnsi="Arial" w:cs="Arial"/>
          <w:sz w:val="23"/>
          <w:szCs w:val="23"/>
        </w:rPr>
        <w:t>eco</w:t>
      </w:r>
      <w:r w:rsidR="00454AC5" w:rsidRPr="00436442">
        <w:rPr>
          <w:rFonts w:ascii="Arial" w:hAnsi="Arial" w:cs="Arial"/>
          <w:sz w:val="23"/>
          <w:szCs w:val="23"/>
        </w:rPr>
        <w:t xml:space="preserve">nomic growth </w:t>
      </w:r>
      <w:r w:rsidR="009971A3" w:rsidRPr="00436442">
        <w:rPr>
          <w:rFonts w:ascii="Arial" w:hAnsi="Arial" w:cs="Arial"/>
          <w:sz w:val="23"/>
          <w:szCs w:val="23"/>
        </w:rPr>
        <w:t xml:space="preserve">for </w:t>
      </w:r>
      <w:r w:rsidR="002763B2" w:rsidRPr="00436442">
        <w:rPr>
          <w:rFonts w:ascii="Arial" w:hAnsi="Arial" w:cs="Arial"/>
          <w:sz w:val="23"/>
          <w:szCs w:val="23"/>
        </w:rPr>
        <w:t>Scotland’s councils</w:t>
      </w:r>
      <w:r w:rsidR="00BB1D6B" w:rsidRPr="00436442">
        <w:rPr>
          <w:rFonts w:ascii="Arial" w:hAnsi="Arial" w:cs="Arial"/>
          <w:sz w:val="23"/>
          <w:szCs w:val="23"/>
        </w:rPr>
        <w:t xml:space="preserve"> and for the country as a whole</w:t>
      </w:r>
      <w:r w:rsidR="00F403D6" w:rsidRPr="00436442">
        <w:rPr>
          <w:rFonts w:ascii="Arial" w:hAnsi="Arial" w:cs="Arial"/>
          <w:sz w:val="23"/>
          <w:szCs w:val="23"/>
        </w:rPr>
        <w:t>.</w:t>
      </w:r>
      <w:r w:rsidR="00853C8B" w:rsidRPr="00436442">
        <w:rPr>
          <w:rFonts w:ascii="Arial" w:hAnsi="Arial" w:cs="Arial"/>
          <w:sz w:val="23"/>
          <w:szCs w:val="23"/>
        </w:rPr>
        <w:t xml:space="preserve">  </w:t>
      </w:r>
    </w:p>
    <w:p w14:paraId="7375CA46" w14:textId="77777777" w:rsidR="000555A9" w:rsidRDefault="000555A9" w:rsidP="00EB3E43">
      <w:pPr>
        <w:pStyle w:val="ListNumber"/>
        <w:numPr>
          <w:ilvl w:val="0"/>
          <w:numId w:val="0"/>
        </w:numPr>
        <w:ind w:left="567" w:hanging="567"/>
        <w:rPr>
          <w:rFonts w:cs="Arial"/>
          <w:b/>
          <w:bCs/>
          <w:szCs w:val="23"/>
        </w:rPr>
      </w:pPr>
    </w:p>
    <w:p w14:paraId="2BB8C75F" w14:textId="77777777" w:rsidR="00EB3E43" w:rsidRDefault="00EB3E43" w:rsidP="00EB3E43">
      <w:pPr>
        <w:pStyle w:val="ListNumber"/>
        <w:numPr>
          <w:ilvl w:val="0"/>
          <w:numId w:val="0"/>
        </w:numPr>
        <w:ind w:left="567" w:hanging="567"/>
        <w:rPr>
          <w:rFonts w:cs="Arial"/>
          <w:b/>
          <w:bCs/>
          <w:szCs w:val="23"/>
        </w:rPr>
      </w:pPr>
    </w:p>
    <w:p w14:paraId="41F58C6C" w14:textId="21328F86" w:rsidR="001507F4" w:rsidRPr="00436442" w:rsidRDefault="001507F4" w:rsidP="00EB3E43">
      <w:pPr>
        <w:pStyle w:val="ListNumber"/>
        <w:numPr>
          <w:ilvl w:val="0"/>
          <w:numId w:val="0"/>
        </w:numPr>
        <w:ind w:left="567" w:hanging="567"/>
        <w:rPr>
          <w:rFonts w:cs="Arial"/>
          <w:b/>
          <w:bCs/>
          <w:szCs w:val="23"/>
        </w:rPr>
      </w:pPr>
      <w:r w:rsidRPr="00436442">
        <w:rPr>
          <w:rFonts w:cs="Arial"/>
          <w:b/>
          <w:bCs/>
          <w:szCs w:val="23"/>
        </w:rPr>
        <w:t xml:space="preserve">For further information regarding this response please contact: </w:t>
      </w:r>
    </w:p>
    <w:p w14:paraId="0418E8FA" w14:textId="77777777" w:rsidR="001507F4" w:rsidRPr="00436442" w:rsidRDefault="001507F4" w:rsidP="005572A6">
      <w:pPr>
        <w:pStyle w:val="ListNumber"/>
        <w:numPr>
          <w:ilvl w:val="0"/>
          <w:numId w:val="0"/>
        </w:numPr>
        <w:ind w:left="567" w:hanging="567"/>
        <w:jc w:val="both"/>
        <w:rPr>
          <w:rFonts w:cs="Arial"/>
          <w:szCs w:val="23"/>
        </w:rPr>
      </w:pPr>
      <w:r w:rsidRPr="00436442">
        <w:rPr>
          <w:rFonts w:cs="Arial"/>
          <w:szCs w:val="23"/>
        </w:rPr>
        <w:t>Lorraine Cook</w:t>
      </w:r>
    </w:p>
    <w:p w14:paraId="4AAE633C" w14:textId="77777777" w:rsidR="001507F4" w:rsidRPr="00436442" w:rsidRDefault="001507F4" w:rsidP="001507F4">
      <w:pPr>
        <w:pStyle w:val="ListNumber"/>
        <w:numPr>
          <w:ilvl w:val="0"/>
          <w:numId w:val="0"/>
        </w:numPr>
        <w:jc w:val="both"/>
        <w:rPr>
          <w:rFonts w:cs="Arial"/>
          <w:szCs w:val="23"/>
        </w:rPr>
      </w:pPr>
      <w:r w:rsidRPr="00436442">
        <w:rPr>
          <w:rFonts w:cs="Arial"/>
          <w:szCs w:val="23"/>
        </w:rPr>
        <w:t xml:space="preserve">Policy Manager </w:t>
      </w:r>
    </w:p>
    <w:p w14:paraId="1F21D947" w14:textId="77777777" w:rsidR="001507F4" w:rsidRPr="00436442" w:rsidRDefault="001507F4" w:rsidP="001507F4">
      <w:pPr>
        <w:pStyle w:val="ListNumber"/>
        <w:numPr>
          <w:ilvl w:val="0"/>
          <w:numId w:val="0"/>
        </w:numPr>
        <w:jc w:val="both"/>
        <w:rPr>
          <w:rFonts w:cs="Arial"/>
          <w:szCs w:val="23"/>
        </w:rPr>
      </w:pPr>
      <w:r w:rsidRPr="00436442">
        <w:rPr>
          <w:rFonts w:cs="Arial"/>
          <w:szCs w:val="23"/>
        </w:rPr>
        <w:t xml:space="preserve">COSLA Migration, Population and Diversity Team </w:t>
      </w:r>
    </w:p>
    <w:p w14:paraId="70994285" w14:textId="77777777" w:rsidR="001507F4" w:rsidRPr="00436442" w:rsidRDefault="001507F4" w:rsidP="001507F4">
      <w:pPr>
        <w:pStyle w:val="ListNumber"/>
        <w:numPr>
          <w:ilvl w:val="0"/>
          <w:numId w:val="0"/>
        </w:numPr>
        <w:ind w:left="567" w:hanging="567"/>
        <w:jc w:val="both"/>
        <w:rPr>
          <w:rFonts w:cs="Arial"/>
          <w:szCs w:val="23"/>
        </w:rPr>
      </w:pPr>
      <w:r w:rsidRPr="00436442">
        <w:rPr>
          <w:rFonts w:cs="Arial"/>
          <w:szCs w:val="23"/>
        </w:rPr>
        <w:t>0131 474 9243</w:t>
      </w:r>
    </w:p>
    <w:p w14:paraId="01F7C346" w14:textId="7669DF77" w:rsidR="001507F4" w:rsidRPr="00436442" w:rsidRDefault="00C93109" w:rsidP="005572A6">
      <w:pPr>
        <w:pStyle w:val="ListNumber"/>
        <w:numPr>
          <w:ilvl w:val="0"/>
          <w:numId w:val="0"/>
        </w:numPr>
        <w:jc w:val="both"/>
        <w:rPr>
          <w:rFonts w:cs="Arial"/>
          <w:szCs w:val="23"/>
        </w:rPr>
      </w:pPr>
      <w:hyperlink r:id="rId12" w:history="1">
        <w:r w:rsidR="001507F4" w:rsidRPr="00436442">
          <w:rPr>
            <w:rStyle w:val="Hyperlink"/>
            <w:rFonts w:cs="Arial"/>
            <w:szCs w:val="23"/>
          </w:rPr>
          <w:t>lorraine@cosla.gov.uk</w:t>
        </w:r>
      </w:hyperlink>
      <w:r w:rsidR="001507F4" w:rsidRPr="00436442">
        <w:rPr>
          <w:rFonts w:cs="Arial"/>
          <w:szCs w:val="23"/>
        </w:rPr>
        <w:t xml:space="preserve"> </w:t>
      </w:r>
    </w:p>
    <w:p w14:paraId="4ADBE663" w14:textId="77777777" w:rsidR="00E7259A" w:rsidRDefault="00E7259A" w:rsidP="00EB3E43">
      <w:pPr>
        <w:ind w:right="460"/>
        <w:jc w:val="right"/>
        <w:rPr>
          <w:rFonts w:ascii="Arial" w:hAnsi="Arial" w:cs="Arial"/>
          <w:sz w:val="23"/>
          <w:szCs w:val="23"/>
        </w:rPr>
      </w:pPr>
    </w:p>
    <w:p w14:paraId="6D71E7AD" w14:textId="712238B5" w:rsidR="00476084" w:rsidRPr="00436442" w:rsidRDefault="001507F4" w:rsidP="00EB3E43">
      <w:pPr>
        <w:ind w:right="460"/>
        <w:jc w:val="right"/>
        <w:rPr>
          <w:rFonts w:ascii="Arial" w:hAnsi="Arial" w:cs="Arial"/>
          <w:sz w:val="23"/>
          <w:szCs w:val="23"/>
        </w:rPr>
      </w:pPr>
      <w:r w:rsidRPr="00436442">
        <w:rPr>
          <w:rFonts w:ascii="Arial" w:hAnsi="Arial" w:cs="Arial"/>
          <w:sz w:val="23"/>
          <w:szCs w:val="23"/>
        </w:rPr>
        <w:t>November 2019</w:t>
      </w:r>
    </w:p>
    <w:sectPr w:rsidR="00476084" w:rsidRPr="00436442" w:rsidSect="00FB1CBD">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8AA8A" w14:textId="77777777" w:rsidR="00C93109" w:rsidRDefault="00C93109" w:rsidP="004A0189">
      <w:r>
        <w:separator/>
      </w:r>
    </w:p>
  </w:endnote>
  <w:endnote w:type="continuationSeparator" w:id="0">
    <w:p w14:paraId="6844E64B" w14:textId="77777777" w:rsidR="00C93109" w:rsidRDefault="00C93109" w:rsidP="004A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446867"/>
      <w:docPartObj>
        <w:docPartGallery w:val="Page Numbers (Bottom of Page)"/>
        <w:docPartUnique/>
      </w:docPartObj>
    </w:sdtPr>
    <w:sdtEndPr>
      <w:rPr>
        <w:rStyle w:val="PageNumber"/>
      </w:rPr>
    </w:sdtEndPr>
    <w:sdtContent>
      <w:p w14:paraId="42F5298F" w14:textId="3386CE9A" w:rsidR="00D759C7" w:rsidRDefault="00D759C7" w:rsidP="00921F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44203" w14:textId="77777777" w:rsidR="00D759C7" w:rsidRDefault="00D759C7" w:rsidP="000D0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3210287"/>
      <w:docPartObj>
        <w:docPartGallery w:val="Page Numbers (Bottom of Page)"/>
        <w:docPartUnique/>
      </w:docPartObj>
    </w:sdtPr>
    <w:sdtEndPr>
      <w:rPr>
        <w:rStyle w:val="PageNumber"/>
      </w:rPr>
    </w:sdtEndPr>
    <w:sdtContent>
      <w:p w14:paraId="37C9F8E9" w14:textId="0E212F46" w:rsidR="00D759C7" w:rsidRDefault="00D759C7" w:rsidP="00921F8C">
        <w:pPr>
          <w:pStyle w:val="Footer"/>
          <w:framePr w:wrap="none" w:vAnchor="text" w:hAnchor="margin" w:xAlign="right" w:y="1"/>
          <w:rPr>
            <w:rStyle w:val="PageNumber"/>
          </w:rPr>
        </w:pPr>
        <w:r w:rsidRPr="00006FA5">
          <w:rPr>
            <w:rStyle w:val="PageNumber"/>
            <w:rFonts w:ascii="Arial" w:hAnsi="Arial" w:cs="Arial"/>
          </w:rPr>
          <w:fldChar w:fldCharType="begin"/>
        </w:r>
        <w:r w:rsidRPr="00006FA5">
          <w:rPr>
            <w:rStyle w:val="PageNumber"/>
            <w:rFonts w:ascii="Arial" w:hAnsi="Arial" w:cs="Arial"/>
          </w:rPr>
          <w:instrText xml:space="preserve"> PAGE </w:instrText>
        </w:r>
        <w:r w:rsidRPr="00006FA5">
          <w:rPr>
            <w:rStyle w:val="PageNumber"/>
            <w:rFonts w:ascii="Arial" w:hAnsi="Arial" w:cs="Arial"/>
          </w:rPr>
          <w:fldChar w:fldCharType="separate"/>
        </w:r>
        <w:r w:rsidRPr="00006FA5">
          <w:rPr>
            <w:rStyle w:val="PageNumber"/>
            <w:rFonts w:ascii="Arial" w:hAnsi="Arial" w:cs="Arial"/>
            <w:noProof/>
          </w:rPr>
          <w:t>1</w:t>
        </w:r>
        <w:r w:rsidRPr="00006FA5">
          <w:rPr>
            <w:rStyle w:val="PageNumber"/>
            <w:rFonts w:ascii="Arial" w:hAnsi="Arial" w:cs="Arial"/>
          </w:rPr>
          <w:fldChar w:fldCharType="end"/>
        </w:r>
      </w:p>
    </w:sdtContent>
  </w:sdt>
  <w:p w14:paraId="059171DE" w14:textId="77777777" w:rsidR="00D759C7" w:rsidRDefault="00D759C7" w:rsidP="000D02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34D56" w14:textId="77777777" w:rsidR="00C93109" w:rsidRDefault="00C93109" w:rsidP="004A0189">
      <w:r>
        <w:separator/>
      </w:r>
    </w:p>
  </w:footnote>
  <w:footnote w:type="continuationSeparator" w:id="0">
    <w:p w14:paraId="7A0D37A1" w14:textId="77777777" w:rsidR="00C93109" w:rsidRDefault="00C93109" w:rsidP="004A0189">
      <w:r>
        <w:continuationSeparator/>
      </w:r>
    </w:p>
  </w:footnote>
  <w:footnote w:id="1">
    <w:p w14:paraId="41772636" w14:textId="0E6F2422" w:rsidR="00D759C7" w:rsidRPr="00565C99" w:rsidRDefault="00D759C7">
      <w:pPr>
        <w:pStyle w:val="FootnoteText"/>
        <w:rPr>
          <w:rFonts w:asciiTheme="minorBidi" w:hAnsiTheme="minorBidi"/>
        </w:rPr>
      </w:pPr>
      <w:r w:rsidRPr="00565C99">
        <w:rPr>
          <w:rStyle w:val="FootnoteReference"/>
          <w:rFonts w:asciiTheme="minorBidi" w:hAnsiTheme="minorBidi"/>
        </w:rPr>
        <w:footnoteRef/>
      </w:r>
      <w:r w:rsidRPr="00565C99">
        <w:rPr>
          <w:rFonts w:asciiTheme="minorBidi" w:hAnsiTheme="minorBidi"/>
        </w:rPr>
        <w:t xml:space="preserve"> Scottish Government, Local Government Employment, June 2019 - </w:t>
      </w:r>
      <w:hyperlink r:id="rId1" w:history="1">
        <w:r w:rsidRPr="00565C99">
          <w:rPr>
            <w:rStyle w:val="Hyperlink"/>
            <w:rFonts w:asciiTheme="minorBidi" w:hAnsiTheme="minorBidi"/>
          </w:rPr>
          <w:t>https://www2.gov.scot/Topics/Statistics/Browse/Labour-Market/PublicSectorEmployment/LAPSE</w:t>
        </w:r>
      </w:hyperlink>
      <w:r w:rsidRPr="00565C99">
        <w:rPr>
          <w:rFonts w:asciiTheme="minorBidi" w:hAnsiTheme="minorBidi"/>
        </w:rPr>
        <w:t xml:space="preserve"> </w:t>
      </w:r>
    </w:p>
  </w:footnote>
  <w:footnote w:id="2">
    <w:p w14:paraId="5187EBFF" w14:textId="7B421435" w:rsidR="00D759C7" w:rsidRPr="00565C99" w:rsidRDefault="00D759C7">
      <w:pPr>
        <w:pStyle w:val="FootnoteText"/>
        <w:rPr>
          <w:rFonts w:asciiTheme="minorBidi" w:hAnsiTheme="minorBidi"/>
        </w:rPr>
      </w:pPr>
      <w:r w:rsidRPr="00565C99">
        <w:rPr>
          <w:rStyle w:val="FootnoteReference"/>
          <w:rFonts w:asciiTheme="minorBidi" w:hAnsiTheme="minorBidi"/>
        </w:rPr>
        <w:footnoteRef/>
      </w:r>
      <w:r w:rsidRPr="00565C99">
        <w:rPr>
          <w:rFonts w:asciiTheme="minorBidi" w:hAnsiTheme="minorBidi"/>
        </w:rPr>
        <w:t xml:space="preserve">  EAG on Migration (Feb 2019) - </w:t>
      </w:r>
      <w:hyperlink r:id="rId2" w:history="1">
        <w:r w:rsidRPr="00565C99">
          <w:rPr>
            <w:rStyle w:val="Hyperlink"/>
            <w:rFonts w:asciiTheme="minorBidi" w:hAnsiTheme="minorBidi"/>
          </w:rPr>
          <w:t>https://www.gov.scot/publications/uk-immigration-policy-leaving-eu-impacts-scotlands-economy-population-society/</w:t>
        </w:r>
      </w:hyperlink>
      <w:r w:rsidRPr="00565C99">
        <w:rPr>
          <w:rFonts w:asciiTheme="minorBidi" w:hAnsiTheme="minorBidi"/>
        </w:rPr>
        <w:t xml:space="preserve"> </w:t>
      </w:r>
    </w:p>
  </w:footnote>
  <w:footnote w:id="3">
    <w:p w14:paraId="5AF30A71" w14:textId="56771775" w:rsidR="00D759C7" w:rsidRPr="00565C99" w:rsidRDefault="00D759C7">
      <w:pPr>
        <w:pStyle w:val="FootnoteText"/>
        <w:rPr>
          <w:rFonts w:asciiTheme="minorBidi" w:hAnsiTheme="minorBidi"/>
        </w:rPr>
      </w:pPr>
      <w:r w:rsidRPr="00565C99">
        <w:rPr>
          <w:rStyle w:val="FootnoteReference"/>
          <w:rFonts w:asciiTheme="minorBidi" w:hAnsiTheme="minorBidi"/>
        </w:rPr>
        <w:footnoteRef/>
      </w:r>
      <w:r w:rsidRPr="00565C99">
        <w:rPr>
          <w:rFonts w:asciiTheme="minorBidi" w:hAnsiTheme="minorBidi"/>
        </w:rPr>
        <w:t xml:space="preserve"> Available from </w:t>
      </w:r>
      <w:hyperlink r:id="rId3" w:history="1">
        <w:r w:rsidRPr="00565C99">
          <w:rPr>
            <w:rStyle w:val="Hyperlink"/>
            <w:rFonts w:asciiTheme="minorBidi" w:hAnsiTheme="minorBidi"/>
          </w:rPr>
          <w:t>www.makeuk.org/Services/Brexit</w:t>
        </w:r>
      </w:hyperlink>
      <w:r w:rsidRPr="00565C99">
        <w:rPr>
          <w:rFonts w:asciiTheme="minorBidi" w:hAnsiTheme="minorBidi"/>
        </w:rPr>
        <w:t xml:space="preserve"> </w:t>
      </w:r>
    </w:p>
  </w:footnote>
  <w:footnote w:id="4">
    <w:p w14:paraId="118D4CE9" w14:textId="146F6124" w:rsidR="00D759C7" w:rsidRPr="00565C99" w:rsidRDefault="00D759C7">
      <w:pPr>
        <w:pStyle w:val="FootnoteText"/>
        <w:rPr>
          <w:rFonts w:asciiTheme="minorBidi" w:hAnsiTheme="minorBidi"/>
        </w:rPr>
      </w:pPr>
      <w:r w:rsidRPr="00565C99">
        <w:rPr>
          <w:rStyle w:val="FootnoteReference"/>
          <w:rFonts w:asciiTheme="minorBidi" w:hAnsiTheme="minorBidi"/>
        </w:rPr>
        <w:footnoteRef/>
      </w:r>
      <w:r w:rsidRPr="00565C99">
        <w:rPr>
          <w:rFonts w:asciiTheme="minorBidi" w:hAnsiTheme="minorBidi"/>
        </w:rPr>
        <w:t xml:space="preserve">  </w:t>
      </w:r>
      <w:r w:rsidRPr="00565C99">
        <w:rPr>
          <w:rFonts w:asciiTheme="minorBidi" w:eastAsia="Times New Roman" w:hAnsiTheme="minorBidi"/>
        </w:rPr>
        <w:t xml:space="preserve">Please refer to A Blueprint for 2020: The expansion of early learning and childcare in Scotland - </w:t>
      </w:r>
      <w:hyperlink r:id="rId4" w:history="1">
        <w:r w:rsidRPr="00565C99">
          <w:rPr>
            <w:rStyle w:val="Hyperlink"/>
            <w:rFonts w:asciiTheme="minorBidi" w:eastAsia="Times New Roman" w:hAnsiTheme="minorBidi"/>
          </w:rPr>
          <w:t>https://www.gov.scot/publications/blueprint-2020-expansion-early-learning-childcare-scotland-quality-action-plan/</w:t>
        </w:r>
      </w:hyperlink>
      <w:r w:rsidRPr="00565C99">
        <w:rPr>
          <w:rFonts w:asciiTheme="minorBidi" w:eastAsia="Times New Roman" w:hAnsiTheme="minorBidi"/>
        </w:rPr>
        <w:t xml:space="preserve"> </w:t>
      </w:r>
    </w:p>
  </w:footnote>
  <w:footnote w:id="5">
    <w:p w14:paraId="76AE69EF" w14:textId="6CD2722E" w:rsidR="00F216AE" w:rsidRDefault="00F216AE">
      <w:pPr>
        <w:pStyle w:val="FootnoteText"/>
      </w:pPr>
      <w:r>
        <w:rPr>
          <w:rStyle w:val="FootnoteReference"/>
        </w:rPr>
        <w:footnoteRef/>
      </w:r>
      <w:r>
        <w:t xml:space="preserve">  Scotland’s Place in Europe (Dec 201</w:t>
      </w:r>
      <w:r w:rsidR="005A6495">
        <w:t>6):</w:t>
      </w:r>
      <w:r w:rsidR="005A6495" w:rsidRPr="005A6495">
        <w:t xml:space="preserve"> </w:t>
      </w:r>
      <w:hyperlink r:id="rId5" w:history="1">
        <w:r w:rsidR="005A6495" w:rsidRPr="00661C40">
          <w:rPr>
            <w:rStyle w:val="Hyperlink"/>
          </w:rPr>
          <w:t>https://www.gov.scot/publications/scotlands-place-europe/</w:t>
        </w:r>
      </w:hyperlink>
      <w:r w:rsidR="005A64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535108"/>
      <w:docPartObj>
        <w:docPartGallery w:val="Watermarks"/>
        <w:docPartUnique/>
      </w:docPartObj>
    </w:sdtPr>
    <w:sdtEndPr/>
    <w:sdtContent>
      <w:p w14:paraId="63D19567" w14:textId="02B0251C" w:rsidR="00555341" w:rsidRDefault="00C93109">
        <w:pPr>
          <w:pStyle w:val="Header"/>
        </w:pPr>
        <w:r>
          <w:rPr>
            <w:noProof/>
          </w:rPr>
          <w:pict w14:anchorId="3F6AC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556EE48"/>
    <w:lvl w:ilvl="0">
      <w:start w:val="1"/>
      <w:numFmt w:val="decimal"/>
      <w:pStyle w:val="ListNumber"/>
      <w:lvlText w:val="%1."/>
      <w:lvlJc w:val="left"/>
      <w:pPr>
        <w:tabs>
          <w:tab w:val="num" w:pos="360"/>
        </w:tabs>
        <w:ind w:left="360" w:hanging="360"/>
      </w:pPr>
    </w:lvl>
  </w:abstractNum>
  <w:abstractNum w:abstractNumId="1" w15:restartNumberingAfterBreak="0">
    <w:nsid w:val="072A0863"/>
    <w:multiLevelType w:val="hybridMultilevel"/>
    <w:tmpl w:val="AB36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535A"/>
    <w:multiLevelType w:val="hybridMultilevel"/>
    <w:tmpl w:val="299C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17A2D"/>
    <w:multiLevelType w:val="hybridMultilevel"/>
    <w:tmpl w:val="32E26B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AA4AFD"/>
    <w:multiLevelType w:val="hybridMultilevel"/>
    <w:tmpl w:val="6CE04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D038F6"/>
    <w:multiLevelType w:val="hybridMultilevel"/>
    <w:tmpl w:val="F3302AF0"/>
    <w:lvl w:ilvl="0" w:tplc="08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75E064A"/>
    <w:multiLevelType w:val="hybridMultilevel"/>
    <w:tmpl w:val="299C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83D16"/>
    <w:multiLevelType w:val="hybridMultilevel"/>
    <w:tmpl w:val="4B08F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46BE8"/>
    <w:multiLevelType w:val="hybridMultilevel"/>
    <w:tmpl w:val="DC98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07153"/>
    <w:multiLevelType w:val="hybridMultilevel"/>
    <w:tmpl w:val="A732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84E2F"/>
    <w:multiLevelType w:val="hybridMultilevel"/>
    <w:tmpl w:val="3B884E66"/>
    <w:lvl w:ilvl="0" w:tplc="4A5E540A">
      <w:start w:val="10"/>
      <w:numFmt w:val="bullet"/>
      <w:lvlText w:val="-"/>
      <w:lvlJc w:val="left"/>
      <w:pPr>
        <w:ind w:left="1800" w:hanging="360"/>
      </w:pPr>
      <w:rPr>
        <w:rFonts w:ascii="Calibri" w:eastAsia="Times New Roman" w:hAnsi="Calibri" w:cs="Calibri"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8972C6"/>
    <w:multiLevelType w:val="hybridMultilevel"/>
    <w:tmpl w:val="77465542"/>
    <w:lvl w:ilvl="0" w:tplc="4A5E540A">
      <w:start w:val="10"/>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586CAA"/>
    <w:multiLevelType w:val="hybridMultilevel"/>
    <w:tmpl w:val="299CA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3518B6"/>
    <w:multiLevelType w:val="hybridMultilevel"/>
    <w:tmpl w:val="62667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B4C91"/>
    <w:multiLevelType w:val="hybridMultilevel"/>
    <w:tmpl w:val="299C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00C5C"/>
    <w:multiLevelType w:val="hybridMultilevel"/>
    <w:tmpl w:val="299C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8"/>
  </w:num>
  <w:num w:numId="5">
    <w:abstractNumId w:val="11"/>
  </w:num>
  <w:num w:numId="6">
    <w:abstractNumId w:val="1"/>
  </w:num>
  <w:num w:numId="7">
    <w:abstractNumId w:val="6"/>
  </w:num>
  <w:num w:numId="8">
    <w:abstractNumId w:val="2"/>
  </w:num>
  <w:num w:numId="9">
    <w:abstractNumId w:val="15"/>
  </w:num>
  <w:num w:numId="10">
    <w:abstractNumId w:val="3"/>
  </w:num>
  <w:num w:numId="11">
    <w:abstractNumId w:val="14"/>
  </w:num>
  <w:num w:numId="12">
    <w:abstractNumId w:val="10"/>
  </w:num>
  <w:num w:numId="13">
    <w:abstractNumId w:val="5"/>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5F"/>
    <w:rsid w:val="0000006C"/>
    <w:rsid w:val="000037C8"/>
    <w:rsid w:val="00003A60"/>
    <w:rsid w:val="00006FA5"/>
    <w:rsid w:val="000111D3"/>
    <w:rsid w:val="000113AF"/>
    <w:rsid w:val="00014029"/>
    <w:rsid w:val="00015CA0"/>
    <w:rsid w:val="000241D2"/>
    <w:rsid w:val="00026CFA"/>
    <w:rsid w:val="0002709F"/>
    <w:rsid w:val="00031E75"/>
    <w:rsid w:val="00045F3A"/>
    <w:rsid w:val="000555A9"/>
    <w:rsid w:val="000709AC"/>
    <w:rsid w:val="00071AB2"/>
    <w:rsid w:val="0008061F"/>
    <w:rsid w:val="0009111D"/>
    <w:rsid w:val="000916D3"/>
    <w:rsid w:val="000930DB"/>
    <w:rsid w:val="000A12D8"/>
    <w:rsid w:val="000A262E"/>
    <w:rsid w:val="000A26A3"/>
    <w:rsid w:val="000A3A72"/>
    <w:rsid w:val="000A58CA"/>
    <w:rsid w:val="000B54EF"/>
    <w:rsid w:val="000C36B2"/>
    <w:rsid w:val="000C49FD"/>
    <w:rsid w:val="000C54CA"/>
    <w:rsid w:val="000D02CB"/>
    <w:rsid w:val="000D40C6"/>
    <w:rsid w:val="000D4B2C"/>
    <w:rsid w:val="000D65D9"/>
    <w:rsid w:val="000E00C8"/>
    <w:rsid w:val="000E2ADB"/>
    <w:rsid w:val="001004B1"/>
    <w:rsid w:val="00104E89"/>
    <w:rsid w:val="00104E8C"/>
    <w:rsid w:val="001111EA"/>
    <w:rsid w:val="00123BA8"/>
    <w:rsid w:val="00140DE4"/>
    <w:rsid w:val="00141279"/>
    <w:rsid w:val="001426D7"/>
    <w:rsid w:val="001507F4"/>
    <w:rsid w:val="001549B3"/>
    <w:rsid w:val="001573C4"/>
    <w:rsid w:val="00157902"/>
    <w:rsid w:val="00162F85"/>
    <w:rsid w:val="00173A89"/>
    <w:rsid w:val="00182ABA"/>
    <w:rsid w:val="0018428A"/>
    <w:rsid w:val="00184FB6"/>
    <w:rsid w:val="001930BE"/>
    <w:rsid w:val="001A4F54"/>
    <w:rsid w:val="001A5ECB"/>
    <w:rsid w:val="001A74E0"/>
    <w:rsid w:val="001B0B49"/>
    <w:rsid w:val="001B5714"/>
    <w:rsid w:val="001C2233"/>
    <w:rsid w:val="001C43E4"/>
    <w:rsid w:val="001D1C29"/>
    <w:rsid w:val="001D26AD"/>
    <w:rsid w:val="001D7967"/>
    <w:rsid w:val="001E795D"/>
    <w:rsid w:val="001F2065"/>
    <w:rsid w:val="002214D5"/>
    <w:rsid w:val="002237BE"/>
    <w:rsid w:val="00227B3D"/>
    <w:rsid w:val="00235CC1"/>
    <w:rsid w:val="002429BA"/>
    <w:rsid w:val="00243866"/>
    <w:rsid w:val="00243DE9"/>
    <w:rsid w:val="002475F5"/>
    <w:rsid w:val="00252C4E"/>
    <w:rsid w:val="00256B54"/>
    <w:rsid w:val="00257517"/>
    <w:rsid w:val="00260568"/>
    <w:rsid w:val="00260A9C"/>
    <w:rsid w:val="00263873"/>
    <w:rsid w:val="0027545F"/>
    <w:rsid w:val="002763B2"/>
    <w:rsid w:val="00277231"/>
    <w:rsid w:val="00277B61"/>
    <w:rsid w:val="002817F0"/>
    <w:rsid w:val="00293A7E"/>
    <w:rsid w:val="0029733D"/>
    <w:rsid w:val="002A24D7"/>
    <w:rsid w:val="002A2B1C"/>
    <w:rsid w:val="002A718F"/>
    <w:rsid w:val="002B4661"/>
    <w:rsid w:val="002C1A1C"/>
    <w:rsid w:val="002C59DC"/>
    <w:rsid w:val="002D4E2B"/>
    <w:rsid w:val="002E4515"/>
    <w:rsid w:val="002E512E"/>
    <w:rsid w:val="002F77D3"/>
    <w:rsid w:val="00306309"/>
    <w:rsid w:val="00315F4F"/>
    <w:rsid w:val="003162A8"/>
    <w:rsid w:val="00320CC5"/>
    <w:rsid w:val="0032210E"/>
    <w:rsid w:val="00326435"/>
    <w:rsid w:val="00340860"/>
    <w:rsid w:val="00345A8F"/>
    <w:rsid w:val="00346258"/>
    <w:rsid w:val="00347903"/>
    <w:rsid w:val="00354953"/>
    <w:rsid w:val="0036022A"/>
    <w:rsid w:val="00370686"/>
    <w:rsid w:val="00385BDE"/>
    <w:rsid w:val="003861E9"/>
    <w:rsid w:val="0039488B"/>
    <w:rsid w:val="003A1078"/>
    <w:rsid w:val="003A2EE5"/>
    <w:rsid w:val="003A3EF6"/>
    <w:rsid w:val="003A52F5"/>
    <w:rsid w:val="003B63EA"/>
    <w:rsid w:val="003C549B"/>
    <w:rsid w:val="003C573B"/>
    <w:rsid w:val="003F21FC"/>
    <w:rsid w:val="003F562A"/>
    <w:rsid w:val="003F7F7E"/>
    <w:rsid w:val="00401780"/>
    <w:rsid w:val="00405481"/>
    <w:rsid w:val="00410600"/>
    <w:rsid w:val="00411447"/>
    <w:rsid w:val="004126A4"/>
    <w:rsid w:val="00416FEC"/>
    <w:rsid w:val="0042185F"/>
    <w:rsid w:val="004243F1"/>
    <w:rsid w:val="0043531C"/>
    <w:rsid w:val="00436442"/>
    <w:rsid w:val="00447BFC"/>
    <w:rsid w:val="00454AC5"/>
    <w:rsid w:val="00455486"/>
    <w:rsid w:val="00455E57"/>
    <w:rsid w:val="00464B6D"/>
    <w:rsid w:val="00474A30"/>
    <w:rsid w:val="00476084"/>
    <w:rsid w:val="00486ED2"/>
    <w:rsid w:val="004902B5"/>
    <w:rsid w:val="0049746F"/>
    <w:rsid w:val="004A0189"/>
    <w:rsid w:val="004A49EE"/>
    <w:rsid w:val="004A5A03"/>
    <w:rsid w:val="004B5705"/>
    <w:rsid w:val="004B5E4D"/>
    <w:rsid w:val="004B74E2"/>
    <w:rsid w:val="004C5CF9"/>
    <w:rsid w:val="004D05D1"/>
    <w:rsid w:val="004D2DD0"/>
    <w:rsid w:val="004F456B"/>
    <w:rsid w:val="00501FE0"/>
    <w:rsid w:val="00510443"/>
    <w:rsid w:val="005133FF"/>
    <w:rsid w:val="00517052"/>
    <w:rsid w:val="00520707"/>
    <w:rsid w:val="00526B95"/>
    <w:rsid w:val="00553282"/>
    <w:rsid w:val="00553C64"/>
    <w:rsid w:val="00554FB5"/>
    <w:rsid w:val="00555341"/>
    <w:rsid w:val="005572A6"/>
    <w:rsid w:val="00561898"/>
    <w:rsid w:val="00562FA6"/>
    <w:rsid w:val="00565C99"/>
    <w:rsid w:val="00583106"/>
    <w:rsid w:val="005914DB"/>
    <w:rsid w:val="005946B0"/>
    <w:rsid w:val="00596160"/>
    <w:rsid w:val="005A287C"/>
    <w:rsid w:val="005A3B00"/>
    <w:rsid w:val="005A6495"/>
    <w:rsid w:val="005A6EF3"/>
    <w:rsid w:val="005B09C3"/>
    <w:rsid w:val="005B3FF0"/>
    <w:rsid w:val="005B55BD"/>
    <w:rsid w:val="005B5B90"/>
    <w:rsid w:val="005B702D"/>
    <w:rsid w:val="005B7BE2"/>
    <w:rsid w:val="005C6DBA"/>
    <w:rsid w:val="005D0034"/>
    <w:rsid w:val="005D35C8"/>
    <w:rsid w:val="005D7690"/>
    <w:rsid w:val="005E5705"/>
    <w:rsid w:val="005E66DA"/>
    <w:rsid w:val="005F040A"/>
    <w:rsid w:val="005F16C3"/>
    <w:rsid w:val="005F3551"/>
    <w:rsid w:val="00603606"/>
    <w:rsid w:val="006059D4"/>
    <w:rsid w:val="00621A70"/>
    <w:rsid w:val="00633C93"/>
    <w:rsid w:val="006354C0"/>
    <w:rsid w:val="006368CB"/>
    <w:rsid w:val="006413AC"/>
    <w:rsid w:val="006429A4"/>
    <w:rsid w:val="006432C6"/>
    <w:rsid w:val="006440A2"/>
    <w:rsid w:val="00645A55"/>
    <w:rsid w:val="00646DCF"/>
    <w:rsid w:val="006512CB"/>
    <w:rsid w:val="00651B35"/>
    <w:rsid w:val="00657AEC"/>
    <w:rsid w:val="006660CD"/>
    <w:rsid w:val="00666A5E"/>
    <w:rsid w:val="00667CBD"/>
    <w:rsid w:val="006802A2"/>
    <w:rsid w:val="00690A9F"/>
    <w:rsid w:val="006C08BF"/>
    <w:rsid w:val="006C0D9F"/>
    <w:rsid w:val="006C79D8"/>
    <w:rsid w:val="006D08C9"/>
    <w:rsid w:val="006D3724"/>
    <w:rsid w:val="006D4640"/>
    <w:rsid w:val="006E6F6A"/>
    <w:rsid w:val="006F181D"/>
    <w:rsid w:val="006F4DDD"/>
    <w:rsid w:val="006F5276"/>
    <w:rsid w:val="00702BDC"/>
    <w:rsid w:val="007054A4"/>
    <w:rsid w:val="00705867"/>
    <w:rsid w:val="00712ACE"/>
    <w:rsid w:val="007156C2"/>
    <w:rsid w:val="00717F09"/>
    <w:rsid w:val="00727D01"/>
    <w:rsid w:val="0073059D"/>
    <w:rsid w:val="00730B94"/>
    <w:rsid w:val="00731217"/>
    <w:rsid w:val="00737C35"/>
    <w:rsid w:val="007446AC"/>
    <w:rsid w:val="00752B65"/>
    <w:rsid w:val="00775994"/>
    <w:rsid w:val="00783254"/>
    <w:rsid w:val="00784E3D"/>
    <w:rsid w:val="00796374"/>
    <w:rsid w:val="007A0DA2"/>
    <w:rsid w:val="007B7DDF"/>
    <w:rsid w:val="007D2015"/>
    <w:rsid w:val="007E0FFA"/>
    <w:rsid w:val="0080063F"/>
    <w:rsid w:val="0080150F"/>
    <w:rsid w:val="00803E65"/>
    <w:rsid w:val="0080628B"/>
    <w:rsid w:val="00807E77"/>
    <w:rsid w:val="00815500"/>
    <w:rsid w:val="008268D1"/>
    <w:rsid w:val="0083461C"/>
    <w:rsid w:val="00847029"/>
    <w:rsid w:val="00851A3E"/>
    <w:rsid w:val="0085338C"/>
    <w:rsid w:val="00853C8B"/>
    <w:rsid w:val="00854FEF"/>
    <w:rsid w:val="0086679D"/>
    <w:rsid w:val="008673CB"/>
    <w:rsid w:val="00877639"/>
    <w:rsid w:val="0088695E"/>
    <w:rsid w:val="0088768C"/>
    <w:rsid w:val="00890F22"/>
    <w:rsid w:val="00891255"/>
    <w:rsid w:val="0089756F"/>
    <w:rsid w:val="008A36F6"/>
    <w:rsid w:val="008A455C"/>
    <w:rsid w:val="008B1790"/>
    <w:rsid w:val="008B23A2"/>
    <w:rsid w:val="008B4A14"/>
    <w:rsid w:val="008B4A9F"/>
    <w:rsid w:val="008C15D9"/>
    <w:rsid w:val="008E30F8"/>
    <w:rsid w:val="008E36B7"/>
    <w:rsid w:val="008E4535"/>
    <w:rsid w:val="008F071E"/>
    <w:rsid w:val="008F212B"/>
    <w:rsid w:val="008F7788"/>
    <w:rsid w:val="008F790D"/>
    <w:rsid w:val="008F7FE7"/>
    <w:rsid w:val="009004A0"/>
    <w:rsid w:val="009041A5"/>
    <w:rsid w:val="00907637"/>
    <w:rsid w:val="0091221C"/>
    <w:rsid w:val="00915D54"/>
    <w:rsid w:val="0091687C"/>
    <w:rsid w:val="00921F8C"/>
    <w:rsid w:val="009230CB"/>
    <w:rsid w:val="0092499E"/>
    <w:rsid w:val="0093179C"/>
    <w:rsid w:val="0093357D"/>
    <w:rsid w:val="00933B17"/>
    <w:rsid w:val="00936B76"/>
    <w:rsid w:val="00946EA6"/>
    <w:rsid w:val="0095785E"/>
    <w:rsid w:val="00961728"/>
    <w:rsid w:val="009725F8"/>
    <w:rsid w:val="00974C9B"/>
    <w:rsid w:val="00993D64"/>
    <w:rsid w:val="0099675B"/>
    <w:rsid w:val="009971A3"/>
    <w:rsid w:val="009A183A"/>
    <w:rsid w:val="009A3ED2"/>
    <w:rsid w:val="009A7386"/>
    <w:rsid w:val="009B32D8"/>
    <w:rsid w:val="009B3C66"/>
    <w:rsid w:val="009B3CB9"/>
    <w:rsid w:val="009B55BD"/>
    <w:rsid w:val="009C04B8"/>
    <w:rsid w:val="009E3497"/>
    <w:rsid w:val="009E496E"/>
    <w:rsid w:val="009E6D08"/>
    <w:rsid w:val="009E6FE4"/>
    <w:rsid w:val="009F0015"/>
    <w:rsid w:val="009F7865"/>
    <w:rsid w:val="00A04AD0"/>
    <w:rsid w:val="00A0730E"/>
    <w:rsid w:val="00A13A87"/>
    <w:rsid w:val="00A17DD5"/>
    <w:rsid w:val="00A331AC"/>
    <w:rsid w:val="00A352C5"/>
    <w:rsid w:val="00A3595D"/>
    <w:rsid w:val="00A36076"/>
    <w:rsid w:val="00A36BBF"/>
    <w:rsid w:val="00A41ED5"/>
    <w:rsid w:val="00A4237B"/>
    <w:rsid w:val="00A45C19"/>
    <w:rsid w:val="00A46320"/>
    <w:rsid w:val="00A471CF"/>
    <w:rsid w:val="00A522A3"/>
    <w:rsid w:val="00A61905"/>
    <w:rsid w:val="00A665D4"/>
    <w:rsid w:val="00A677CB"/>
    <w:rsid w:val="00A67816"/>
    <w:rsid w:val="00A752AD"/>
    <w:rsid w:val="00A76C04"/>
    <w:rsid w:val="00A85725"/>
    <w:rsid w:val="00A85D57"/>
    <w:rsid w:val="00A920FC"/>
    <w:rsid w:val="00A936E9"/>
    <w:rsid w:val="00A976D6"/>
    <w:rsid w:val="00AA239E"/>
    <w:rsid w:val="00AA60B2"/>
    <w:rsid w:val="00AB1979"/>
    <w:rsid w:val="00AB500D"/>
    <w:rsid w:val="00AB700F"/>
    <w:rsid w:val="00AC3F51"/>
    <w:rsid w:val="00AC42A9"/>
    <w:rsid w:val="00AC6BDA"/>
    <w:rsid w:val="00AE001D"/>
    <w:rsid w:val="00AE0650"/>
    <w:rsid w:val="00AE45C3"/>
    <w:rsid w:val="00AF3AAA"/>
    <w:rsid w:val="00B01904"/>
    <w:rsid w:val="00B1067A"/>
    <w:rsid w:val="00B12F3C"/>
    <w:rsid w:val="00B1510B"/>
    <w:rsid w:val="00B1663A"/>
    <w:rsid w:val="00B22002"/>
    <w:rsid w:val="00B27443"/>
    <w:rsid w:val="00B30764"/>
    <w:rsid w:val="00B313BA"/>
    <w:rsid w:val="00B36F92"/>
    <w:rsid w:val="00B508AA"/>
    <w:rsid w:val="00B5559C"/>
    <w:rsid w:val="00B640FC"/>
    <w:rsid w:val="00B658DD"/>
    <w:rsid w:val="00B67DF4"/>
    <w:rsid w:val="00B7636F"/>
    <w:rsid w:val="00B8395A"/>
    <w:rsid w:val="00B90BFE"/>
    <w:rsid w:val="00B91538"/>
    <w:rsid w:val="00B97404"/>
    <w:rsid w:val="00B978B3"/>
    <w:rsid w:val="00BA194F"/>
    <w:rsid w:val="00BA506E"/>
    <w:rsid w:val="00BB0293"/>
    <w:rsid w:val="00BB1D6B"/>
    <w:rsid w:val="00BB2FEB"/>
    <w:rsid w:val="00BB4DFD"/>
    <w:rsid w:val="00BB5087"/>
    <w:rsid w:val="00BB6E5D"/>
    <w:rsid w:val="00BB7BA8"/>
    <w:rsid w:val="00BC1641"/>
    <w:rsid w:val="00BC4185"/>
    <w:rsid w:val="00BC43F1"/>
    <w:rsid w:val="00BC569A"/>
    <w:rsid w:val="00BC6935"/>
    <w:rsid w:val="00BD1857"/>
    <w:rsid w:val="00BD1E28"/>
    <w:rsid w:val="00BD4768"/>
    <w:rsid w:val="00BD69E8"/>
    <w:rsid w:val="00BE19CA"/>
    <w:rsid w:val="00BE486A"/>
    <w:rsid w:val="00BF516D"/>
    <w:rsid w:val="00BF6F6F"/>
    <w:rsid w:val="00C05DC7"/>
    <w:rsid w:val="00C2254F"/>
    <w:rsid w:val="00C249B6"/>
    <w:rsid w:val="00C31778"/>
    <w:rsid w:val="00C32695"/>
    <w:rsid w:val="00C406BF"/>
    <w:rsid w:val="00C47CC2"/>
    <w:rsid w:val="00C51880"/>
    <w:rsid w:val="00C63ACE"/>
    <w:rsid w:val="00C73161"/>
    <w:rsid w:val="00C861CE"/>
    <w:rsid w:val="00C92998"/>
    <w:rsid w:val="00C93109"/>
    <w:rsid w:val="00C946B4"/>
    <w:rsid w:val="00C96AFA"/>
    <w:rsid w:val="00CA31C5"/>
    <w:rsid w:val="00CA584C"/>
    <w:rsid w:val="00CB4903"/>
    <w:rsid w:val="00CC3C3B"/>
    <w:rsid w:val="00CD312E"/>
    <w:rsid w:val="00CD5BAD"/>
    <w:rsid w:val="00CD60BE"/>
    <w:rsid w:val="00CD7A39"/>
    <w:rsid w:val="00CF0DC7"/>
    <w:rsid w:val="00CF37B7"/>
    <w:rsid w:val="00CF492A"/>
    <w:rsid w:val="00D00B75"/>
    <w:rsid w:val="00D1067C"/>
    <w:rsid w:val="00D15F8A"/>
    <w:rsid w:val="00D1623C"/>
    <w:rsid w:val="00D200A6"/>
    <w:rsid w:val="00D30C45"/>
    <w:rsid w:val="00D335FF"/>
    <w:rsid w:val="00D33DD4"/>
    <w:rsid w:val="00D341D5"/>
    <w:rsid w:val="00D405CA"/>
    <w:rsid w:val="00D42B33"/>
    <w:rsid w:val="00D5064D"/>
    <w:rsid w:val="00D51656"/>
    <w:rsid w:val="00D5179D"/>
    <w:rsid w:val="00D565B5"/>
    <w:rsid w:val="00D74808"/>
    <w:rsid w:val="00D759C7"/>
    <w:rsid w:val="00D77F12"/>
    <w:rsid w:val="00D80BC2"/>
    <w:rsid w:val="00D9064C"/>
    <w:rsid w:val="00D90D59"/>
    <w:rsid w:val="00D915AE"/>
    <w:rsid w:val="00D95DDB"/>
    <w:rsid w:val="00D96AA2"/>
    <w:rsid w:val="00DB2710"/>
    <w:rsid w:val="00DD0BBF"/>
    <w:rsid w:val="00DE242B"/>
    <w:rsid w:val="00DF068A"/>
    <w:rsid w:val="00DF08B0"/>
    <w:rsid w:val="00DF264C"/>
    <w:rsid w:val="00DF3B28"/>
    <w:rsid w:val="00E025C4"/>
    <w:rsid w:val="00E1347D"/>
    <w:rsid w:val="00E17665"/>
    <w:rsid w:val="00E17AE6"/>
    <w:rsid w:val="00E23DD4"/>
    <w:rsid w:val="00E345D1"/>
    <w:rsid w:val="00E435B5"/>
    <w:rsid w:val="00E4396D"/>
    <w:rsid w:val="00E7259A"/>
    <w:rsid w:val="00E735F2"/>
    <w:rsid w:val="00E85F06"/>
    <w:rsid w:val="00EA5AF7"/>
    <w:rsid w:val="00EA5D0C"/>
    <w:rsid w:val="00EB0A5B"/>
    <w:rsid w:val="00EB3E43"/>
    <w:rsid w:val="00EB651E"/>
    <w:rsid w:val="00EC52AD"/>
    <w:rsid w:val="00ED45BE"/>
    <w:rsid w:val="00ED7A6D"/>
    <w:rsid w:val="00ED7E15"/>
    <w:rsid w:val="00EE21C0"/>
    <w:rsid w:val="00EF3E28"/>
    <w:rsid w:val="00F01FB2"/>
    <w:rsid w:val="00F04420"/>
    <w:rsid w:val="00F10A0F"/>
    <w:rsid w:val="00F126E9"/>
    <w:rsid w:val="00F14BCE"/>
    <w:rsid w:val="00F216AE"/>
    <w:rsid w:val="00F23A08"/>
    <w:rsid w:val="00F27488"/>
    <w:rsid w:val="00F403D6"/>
    <w:rsid w:val="00F419F7"/>
    <w:rsid w:val="00F42FD7"/>
    <w:rsid w:val="00F430C0"/>
    <w:rsid w:val="00F51290"/>
    <w:rsid w:val="00F526B6"/>
    <w:rsid w:val="00F53D64"/>
    <w:rsid w:val="00F5553E"/>
    <w:rsid w:val="00F56A0C"/>
    <w:rsid w:val="00F61BC5"/>
    <w:rsid w:val="00F65B24"/>
    <w:rsid w:val="00F70695"/>
    <w:rsid w:val="00F77DFC"/>
    <w:rsid w:val="00F82273"/>
    <w:rsid w:val="00F839ED"/>
    <w:rsid w:val="00F9145D"/>
    <w:rsid w:val="00F97518"/>
    <w:rsid w:val="00FA0302"/>
    <w:rsid w:val="00FB1CBD"/>
    <w:rsid w:val="00FE7E5B"/>
    <w:rsid w:val="00FF4CC4"/>
    <w:rsid w:val="00FF74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8351D"/>
  <w15:chartTrackingRefBased/>
  <w15:docId w15:val="{E41E86FA-C6FA-A34C-BF9A-2DEE9B2D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5F"/>
    <w:pPr>
      <w:ind w:left="720"/>
      <w:contextualSpacing/>
    </w:pPr>
  </w:style>
  <w:style w:type="paragraph" w:styleId="FootnoteText">
    <w:name w:val="footnote text"/>
    <w:basedOn w:val="Normal"/>
    <w:link w:val="FootnoteTextChar"/>
    <w:uiPriority w:val="99"/>
    <w:unhideWhenUsed/>
    <w:rsid w:val="004A0189"/>
    <w:rPr>
      <w:sz w:val="20"/>
      <w:szCs w:val="20"/>
    </w:rPr>
  </w:style>
  <w:style w:type="character" w:customStyle="1" w:styleId="FootnoteTextChar">
    <w:name w:val="Footnote Text Char"/>
    <w:basedOn w:val="DefaultParagraphFont"/>
    <w:link w:val="FootnoteText"/>
    <w:uiPriority w:val="99"/>
    <w:rsid w:val="004A0189"/>
    <w:rPr>
      <w:sz w:val="20"/>
      <w:szCs w:val="20"/>
    </w:rPr>
  </w:style>
  <w:style w:type="character" w:styleId="FootnoteReference">
    <w:name w:val="footnote reference"/>
    <w:basedOn w:val="DefaultParagraphFont"/>
    <w:uiPriority w:val="99"/>
    <w:unhideWhenUsed/>
    <w:rsid w:val="004A0189"/>
    <w:rPr>
      <w:vertAlign w:val="superscript"/>
    </w:rPr>
  </w:style>
  <w:style w:type="character" w:styleId="Hyperlink">
    <w:name w:val="Hyperlink"/>
    <w:basedOn w:val="DefaultParagraphFont"/>
    <w:uiPriority w:val="99"/>
    <w:unhideWhenUsed/>
    <w:rsid w:val="004A0189"/>
    <w:rPr>
      <w:color w:val="0563C1" w:themeColor="hyperlink"/>
      <w:u w:val="single"/>
    </w:rPr>
  </w:style>
  <w:style w:type="character" w:styleId="UnresolvedMention">
    <w:name w:val="Unresolved Mention"/>
    <w:basedOn w:val="DefaultParagraphFont"/>
    <w:uiPriority w:val="99"/>
    <w:semiHidden/>
    <w:unhideWhenUsed/>
    <w:rsid w:val="004A0189"/>
    <w:rPr>
      <w:color w:val="605E5C"/>
      <w:shd w:val="clear" w:color="auto" w:fill="E1DFDD"/>
    </w:rPr>
  </w:style>
  <w:style w:type="table" w:styleId="TableGrid">
    <w:name w:val="Table Grid"/>
    <w:basedOn w:val="TableNormal"/>
    <w:uiPriority w:val="39"/>
    <w:rsid w:val="00633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02CB"/>
    <w:pPr>
      <w:tabs>
        <w:tab w:val="center" w:pos="4680"/>
        <w:tab w:val="right" w:pos="9360"/>
      </w:tabs>
    </w:pPr>
  </w:style>
  <w:style w:type="character" w:customStyle="1" w:styleId="FooterChar">
    <w:name w:val="Footer Char"/>
    <w:basedOn w:val="DefaultParagraphFont"/>
    <w:link w:val="Footer"/>
    <w:uiPriority w:val="99"/>
    <w:rsid w:val="000D02CB"/>
  </w:style>
  <w:style w:type="character" w:styleId="PageNumber">
    <w:name w:val="page number"/>
    <w:basedOn w:val="DefaultParagraphFont"/>
    <w:uiPriority w:val="99"/>
    <w:semiHidden/>
    <w:unhideWhenUsed/>
    <w:rsid w:val="000D02CB"/>
  </w:style>
  <w:style w:type="paragraph" w:styleId="NormalWeb">
    <w:name w:val="Normal (Web)"/>
    <w:basedOn w:val="Normal"/>
    <w:uiPriority w:val="99"/>
    <w:unhideWhenUsed/>
    <w:rsid w:val="008A36F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A36F6"/>
  </w:style>
  <w:style w:type="character" w:styleId="FollowedHyperlink">
    <w:name w:val="FollowedHyperlink"/>
    <w:basedOn w:val="DefaultParagraphFont"/>
    <w:uiPriority w:val="99"/>
    <w:semiHidden/>
    <w:unhideWhenUsed/>
    <w:rsid w:val="009C04B8"/>
    <w:rPr>
      <w:color w:val="954F72" w:themeColor="followedHyperlink"/>
      <w:u w:val="single"/>
    </w:rPr>
  </w:style>
  <w:style w:type="paragraph" w:styleId="ListNumber">
    <w:name w:val="List Number"/>
    <w:basedOn w:val="Normal"/>
    <w:rsid w:val="00F403D6"/>
    <w:pPr>
      <w:numPr>
        <w:numId w:val="15"/>
      </w:numPr>
      <w:tabs>
        <w:tab w:val="clear" w:pos="360"/>
        <w:tab w:val="left" w:pos="567"/>
      </w:tabs>
      <w:ind w:left="567" w:hanging="567"/>
    </w:pPr>
    <w:rPr>
      <w:rFonts w:ascii="Arial" w:eastAsia="Times New Roman" w:hAnsi="Arial" w:cs="Times New Roman"/>
      <w:sz w:val="23"/>
      <w:szCs w:val="20"/>
    </w:rPr>
  </w:style>
  <w:style w:type="paragraph" w:styleId="Header">
    <w:name w:val="header"/>
    <w:basedOn w:val="Normal"/>
    <w:link w:val="HeaderChar"/>
    <w:uiPriority w:val="99"/>
    <w:unhideWhenUsed/>
    <w:rsid w:val="00416FEC"/>
    <w:pPr>
      <w:tabs>
        <w:tab w:val="center" w:pos="4513"/>
        <w:tab w:val="right" w:pos="9026"/>
      </w:tabs>
    </w:pPr>
  </w:style>
  <w:style w:type="character" w:customStyle="1" w:styleId="HeaderChar">
    <w:name w:val="Header Char"/>
    <w:basedOn w:val="DefaultParagraphFont"/>
    <w:link w:val="Header"/>
    <w:uiPriority w:val="99"/>
    <w:rsid w:val="0041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7170">
      <w:bodyDiv w:val="1"/>
      <w:marLeft w:val="0"/>
      <w:marRight w:val="0"/>
      <w:marTop w:val="0"/>
      <w:marBottom w:val="0"/>
      <w:divBdr>
        <w:top w:val="none" w:sz="0" w:space="0" w:color="auto"/>
        <w:left w:val="none" w:sz="0" w:space="0" w:color="auto"/>
        <w:bottom w:val="none" w:sz="0" w:space="0" w:color="auto"/>
        <w:right w:val="none" w:sz="0" w:space="0" w:color="auto"/>
      </w:divBdr>
    </w:div>
    <w:div w:id="418404895">
      <w:bodyDiv w:val="1"/>
      <w:marLeft w:val="0"/>
      <w:marRight w:val="0"/>
      <w:marTop w:val="0"/>
      <w:marBottom w:val="0"/>
      <w:divBdr>
        <w:top w:val="none" w:sz="0" w:space="0" w:color="auto"/>
        <w:left w:val="none" w:sz="0" w:space="0" w:color="auto"/>
        <w:bottom w:val="none" w:sz="0" w:space="0" w:color="auto"/>
        <w:right w:val="none" w:sz="0" w:space="0" w:color="auto"/>
      </w:divBdr>
    </w:div>
    <w:div w:id="440884051">
      <w:bodyDiv w:val="1"/>
      <w:marLeft w:val="0"/>
      <w:marRight w:val="0"/>
      <w:marTop w:val="0"/>
      <w:marBottom w:val="0"/>
      <w:divBdr>
        <w:top w:val="none" w:sz="0" w:space="0" w:color="auto"/>
        <w:left w:val="none" w:sz="0" w:space="0" w:color="auto"/>
        <w:bottom w:val="none" w:sz="0" w:space="0" w:color="auto"/>
        <w:right w:val="none" w:sz="0" w:space="0" w:color="auto"/>
      </w:divBdr>
    </w:div>
    <w:div w:id="507445797">
      <w:bodyDiv w:val="1"/>
      <w:marLeft w:val="0"/>
      <w:marRight w:val="0"/>
      <w:marTop w:val="0"/>
      <w:marBottom w:val="0"/>
      <w:divBdr>
        <w:top w:val="none" w:sz="0" w:space="0" w:color="auto"/>
        <w:left w:val="none" w:sz="0" w:space="0" w:color="auto"/>
        <w:bottom w:val="none" w:sz="0" w:space="0" w:color="auto"/>
        <w:right w:val="none" w:sz="0" w:space="0" w:color="auto"/>
      </w:divBdr>
      <w:divsChild>
        <w:div w:id="1175651735">
          <w:marLeft w:val="0"/>
          <w:marRight w:val="0"/>
          <w:marTop w:val="0"/>
          <w:marBottom w:val="0"/>
          <w:divBdr>
            <w:top w:val="none" w:sz="0" w:space="0" w:color="auto"/>
            <w:left w:val="none" w:sz="0" w:space="0" w:color="auto"/>
            <w:bottom w:val="none" w:sz="0" w:space="0" w:color="auto"/>
            <w:right w:val="none" w:sz="0" w:space="0" w:color="auto"/>
          </w:divBdr>
          <w:divsChild>
            <w:div w:id="235015938">
              <w:marLeft w:val="0"/>
              <w:marRight w:val="0"/>
              <w:marTop w:val="0"/>
              <w:marBottom w:val="0"/>
              <w:divBdr>
                <w:top w:val="none" w:sz="0" w:space="0" w:color="auto"/>
                <w:left w:val="none" w:sz="0" w:space="0" w:color="auto"/>
                <w:bottom w:val="none" w:sz="0" w:space="0" w:color="auto"/>
                <w:right w:val="none" w:sz="0" w:space="0" w:color="auto"/>
              </w:divBdr>
              <w:divsChild>
                <w:div w:id="11029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7469">
          <w:marLeft w:val="0"/>
          <w:marRight w:val="0"/>
          <w:marTop w:val="0"/>
          <w:marBottom w:val="0"/>
          <w:divBdr>
            <w:top w:val="none" w:sz="0" w:space="0" w:color="auto"/>
            <w:left w:val="none" w:sz="0" w:space="0" w:color="auto"/>
            <w:bottom w:val="none" w:sz="0" w:space="0" w:color="auto"/>
            <w:right w:val="none" w:sz="0" w:space="0" w:color="auto"/>
          </w:divBdr>
          <w:divsChild>
            <w:div w:id="808670222">
              <w:marLeft w:val="0"/>
              <w:marRight w:val="0"/>
              <w:marTop w:val="0"/>
              <w:marBottom w:val="0"/>
              <w:divBdr>
                <w:top w:val="none" w:sz="0" w:space="0" w:color="auto"/>
                <w:left w:val="none" w:sz="0" w:space="0" w:color="auto"/>
                <w:bottom w:val="none" w:sz="0" w:space="0" w:color="auto"/>
                <w:right w:val="none" w:sz="0" w:space="0" w:color="auto"/>
              </w:divBdr>
              <w:divsChild>
                <w:div w:id="1823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0185">
      <w:bodyDiv w:val="1"/>
      <w:marLeft w:val="0"/>
      <w:marRight w:val="0"/>
      <w:marTop w:val="0"/>
      <w:marBottom w:val="0"/>
      <w:divBdr>
        <w:top w:val="none" w:sz="0" w:space="0" w:color="auto"/>
        <w:left w:val="none" w:sz="0" w:space="0" w:color="auto"/>
        <w:bottom w:val="none" w:sz="0" w:space="0" w:color="auto"/>
        <w:right w:val="none" w:sz="0" w:space="0" w:color="auto"/>
      </w:divBdr>
    </w:div>
    <w:div w:id="552470343">
      <w:bodyDiv w:val="1"/>
      <w:marLeft w:val="0"/>
      <w:marRight w:val="0"/>
      <w:marTop w:val="0"/>
      <w:marBottom w:val="0"/>
      <w:divBdr>
        <w:top w:val="none" w:sz="0" w:space="0" w:color="auto"/>
        <w:left w:val="none" w:sz="0" w:space="0" w:color="auto"/>
        <w:bottom w:val="none" w:sz="0" w:space="0" w:color="auto"/>
        <w:right w:val="none" w:sz="0" w:space="0" w:color="auto"/>
      </w:divBdr>
    </w:div>
    <w:div w:id="602568912">
      <w:bodyDiv w:val="1"/>
      <w:marLeft w:val="0"/>
      <w:marRight w:val="0"/>
      <w:marTop w:val="0"/>
      <w:marBottom w:val="0"/>
      <w:divBdr>
        <w:top w:val="none" w:sz="0" w:space="0" w:color="auto"/>
        <w:left w:val="none" w:sz="0" w:space="0" w:color="auto"/>
        <w:bottom w:val="none" w:sz="0" w:space="0" w:color="auto"/>
        <w:right w:val="none" w:sz="0" w:space="0" w:color="auto"/>
      </w:divBdr>
    </w:div>
    <w:div w:id="648558643">
      <w:bodyDiv w:val="1"/>
      <w:marLeft w:val="0"/>
      <w:marRight w:val="0"/>
      <w:marTop w:val="0"/>
      <w:marBottom w:val="0"/>
      <w:divBdr>
        <w:top w:val="none" w:sz="0" w:space="0" w:color="auto"/>
        <w:left w:val="none" w:sz="0" w:space="0" w:color="auto"/>
        <w:bottom w:val="none" w:sz="0" w:space="0" w:color="auto"/>
        <w:right w:val="none" w:sz="0" w:space="0" w:color="auto"/>
      </w:divBdr>
    </w:div>
    <w:div w:id="651367557">
      <w:bodyDiv w:val="1"/>
      <w:marLeft w:val="0"/>
      <w:marRight w:val="0"/>
      <w:marTop w:val="0"/>
      <w:marBottom w:val="0"/>
      <w:divBdr>
        <w:top w:val="none" w:sz="0" w:space="0" w:color="auto"/>
        <w:left w:val="none" w:sz="0" w:space="0" w:color="auto"/>
        <w:bottom w:val="none" w:sz="0" w:space="0" w:color="auto"/>
        <w:right w:val="none" w:sz="0" w:space="0" w:color="auto"/>
      </w:divBdr>
      <w:divsChild>
        <w:div w:id="1489786100">
          <w:marLeft w:val="0"/>
          <w:marRight w:val="0"/>
          <w:marTop w:val="0"/>
          <w:marBottom w:val="0"/>
          <w:divBdr>
            <w:top w:val="none" w:sz="0" w:space="0" w:color="auto"/>
            <w:left w:val="none" w:sz="0" w:space="0" w:color="auto"/>
            <w:bottom w:val="none" w:sz="0" w:space="0" w:color="auto"/>
            <w:right w:val="none" w:sz="0" w:space="0" w:color="auto"/>
          </w:divBdr>
          <w:divsChild>
            <w:div w:id="1941643929">
              <w:marLeft w:val="0"/>
              <w:marRight w:val="0"/>
              <w:marTop w:val="0"/>
              <w:marBottom w:val="0"/>
              <w:divBdr>
                <w:top w:val="none" w:sz="0" w:space="0" w:color="auto"/>
                <w:left w:val="none" w:sz="0" w:space="0" w:color="auto"/>
                <w:bottom w:val="none" w:sz="0" w:space="0" w:color="auto"/>
                <w:right w:val="none" w:sz="0" w:space="0" w:color="auto"/>
              </w:divBdr>
              <w:divsChild>
                <w:div w:id="6115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1985">
      <w:bodyDiv w:val="1"/>
      <w:marLeft w:val="0"/>
      <w:marRight w:val="0"/>
      <w:marTop w:val="0"/>
      <w:marBottom w:val="0"/>
      <w:divBdr>
        <w:top w:val="none" w:sz="0" w:space="0" w:color="auto"/>
        <w:left w:val="none" w:sz="0" w:space="0" w:color="auto"/>
        <w:bottom w:val="none" w:sz="0" w:space="0" w:color="auto"/>
        <w:right w:val="none" w:sz="0" w:space="0" w:color="auto"/>
      </w:divBdr>
    </w:div>
    <w:div w:id="1185821292">
      <w:bodyDiv w:val="1"/>
      <w:marLeft w:val="0"/>
      <w:marRight w:val="0"/>
      <w:marTop w:val="0"/>
      <w:marBottom w:val="0"/>
      <w:divBdr>
        <w:top w:val="none" w:sz="0" w:space="0" w:color="auto"/>
        <w:left w:val="none" w:sz="0" w:space="0" w:color="auto"/>
        <w:bottom w:val="none" w:sz="0" w:space="0" w:color="auto"/>
        <w:right w:val="none" w:sz="0" w:space="0" w:color="auto"/>
      </w:divBdr>
    </w:div>
    <w:div w:id="1273979618">
      <w:bodyDiv w:val="1"/>
      <w:marLeft w:val="0"/>
      <w:marRight w:val="0"/>
      <w:marTop w:val="0"/>
      <w:marBottom w:val="0"/>
      <w:divBdr>
        <w:top w:val="none" w:sz="0" w:space="0" w:color="auto"/>
        <w:left w:val="none" w:sz="0" w:space="0" w:color="auto"/>
        <w:bottom w:val="none" w:sz="0" w:space="0" w:color="auto"/>
        <w:right w:val="none" w:sz="0" w:space="0" w:color="auto"/>
      </w:divBdr>
    </w:div>
    <w:div w:id="1304391602">
      <w:bodyDiv w:val="1"/>
      <w:marLeft w:val="0"/>
      <w:marRight w:val="0"/>
      <w:marTop w:val="0"/>
      <w:marBottom w:val="0"/>
      <w:divBdr>
        <w:top w:val="none" w:sz="0" w:space="0" w:color="auto"/>
        <w:left w:val="none" w:sz="0" w:space="0" w:color="auto"/>
        <w:bottom w:val="none" w:sz="0" w:space="0" w:color="auto"/>
        <w:right w:val="none" w:sz="0" w:space="0" w:color="auto"/>
      </w:divBdr>
      <w:divsChild>
        <w:div w:id="1282497047">
          <w:marLeft w:val="0"/>
          <w:marRight w:val="0"/>
          <w:marTop w:val="0"/>
          <w:marBottom w:val="0"/>
          <w:divBdr>
            <w:top w:val="none" w:sz="0" w:space="0" w:color="auto"/>
            <w:left w:val="none" w:sz="0" w:space="0" w:color="auto"/>
            <w:bottom w:val="none" w:sz="0" w:space="0" w:color="auto"/>
            <w:right w:val="none" w:sz="0" w:space="0" w:color="auto"/>
          </w:divBdr>
          <w:divsChild>
            <w:div w:id="1296645953">
              <w:marLeft w:val="0"/>
              <w:marRight w:val="0"/>
              <w:marTop w:val="0"/>
              <w:marBottom w:val="0"/>
              <w:divBdr>
                <w:top w:val="none" w:sz="0" w:space="0" w:color="auto"/>
                <w:left w:val="none" w:sz="0" w:space="0" w:color="auto"/>
                <w:bottom w:val="none" w:sz="0" w:space="0" w:color="auto"/>
                <w:right w:val="none" w:sz="0" w:space="0" w:color="auto"/>
              </w:divBdr>
              <w:divsChild>
                <w:div w:id="499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08378">
      <w:bodyDiv w:val="1"/>
      <w:marLeft w:val="0"/>
      <w:marRight w:val="0"/>
      <w:marTop w:val="0"/>
      <w:marBottom w:val="0"/>
      <w:divBdr>
        <w:top w:val="none" w:sz="0" w:space="0" w:color="auto"/>
        <w:left w:val="none" w:sz="0" w:space="0" w:color="auto"/>
        <w:bottom w:val="none" w:sz="0" w:space="0" w:color="auto"/>
        <w:right w:val="none" w:sz="0" w:space="0" w:color="auto"/>
      </w:divBdr>
    </w:div>
    <w:div w:id="1474524306">
      <w:bodyDiv w:val="1"/>
      <w:marLeft w:val="0"/>
      <w:marRight w:val="0"/>
      <w:marTop w:val="0"/>
      <w:marBottom w:val="0"/>
      <w:divBdr>
        <w:top w:val="none" w:sz="0" w:space="0" w:color="auto"/>
        <w:left w:val="none" w:sz="0" w:space="0" w:color="auto"/>
        <w:bottom w:val="none" w:sz="0" w:space="0" w:color="auto"/>
        <w:right w:val="none" w:sz="0" w:space="0" w:color="auto"/>
      </w:divBdr>
    </w:div>
    <w:div w:id="1502085711">
      <w:bodyDiv w:val="1"/>
      <w:marLeft w:val="0"/>
      <w:marRight w:val="0"/>
      <w:marTop w:val="0"/>
      <w:marBottom w:val="0"/>
      <w:divBdr>
        <w:top w:val="none" w:sz="0" w:space="0" w:color="auto"/>
        <w:left w:val="none" w:sz="0" w:space="0" w:color="auto"/>
        <w:bottom w:val="none" w:sz="0" w:space="0" w:color="auto"/>
        <w:right w:val="none" w:sz="0" w:space="0" w:color="auto"/>
      </w:divBdr>
      <w:divsChild>
        <w:div w:id="2046520390">
          <w:marLeft w:val="0"/>
          <w:marRight w:val="0"/>
          <w:marTop w:val="0"/>
          <w:marBottom w:val="0"/>
          <w:divBdr>
            <w:top w:val="none" w:sz="0" w:space="0" w:color="auto"/>
            <w:left w:val="none" w:sz="0" w:space="0" w:color="auto"/>
            <w:bottom w:val="none" w:sz="0" w:space="0" w:color="auto"/>
            <w:right w:val="none" w:sz="0" w:space="0" w:color="auto"/>
          </w:divBdr>
          <w:divsChild>
            <w:div w:id="386758364">
              <w:marLeft w:val="0"/>
              <w:marRight w:val="0"/>
              <w:marTop w:val="0"/>
              <w:marBottom w:val="0"/>
              <w:divBdr>
                <w:top w:val="none" w:sz="0" w:space="0" w:color="auto"/>
                <w:left w:val="none" w:sz="0" w:space="0" w:color="auto"/>
                <w:bottom w:val="none" w:sz="0" w:space="0" w:color="auto"/>
                <w:right w:val="none" w:sz="0" w:space="0" w:color="auto"/>
              </w:divBdr>
              <w:divsChild>
                <w:div w:id="11947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4887">
      <w:bodyDiv w:val="1"/>
      <w:marLeft w:val="0"/>
      <w:marRight w:val="0"/>
      <w:marTop w:val="0"/>
      <w:marBottom w:val="0"/>
      <w:divBdr>
        <w:top w:val="none" w:sz="0" w:space="0" w:color="auto"/>
        <w:left w:val="none" w:sz="0" w:space="0" w:color="auto"/>
        <w:bottom w:val="none" w:sz="0" w:space="0" w:color="auto"/>
        <w:right w:val="none" w:sz="0" w:space="0" w:color="auto"/>
      </w:divBdr>
    </w:div>
    <w:div w:id="1519000303">
      <w:bodyDiv w:val="1"/>
      <w:marLeft w:val="0"/>
      <w:marRight w:val="0"/>
      <w:marTop w:val="0"/>
      <w:marBottom w:val="0"/>
      <w:divBdr>
        <w:top w:val="none" w:sz="0" w:space="0" w:color="auto"/>
        <w:left w:val="none" w:sz="0" w:space="0" w:color="auto"/>
        <w:bottom w:val="none" w:sz="0" w:space="0" w:color="auto"/>
        <w:right w:val="none" w:sz="0" w:space="0" w:color="auto"/>
      </w:divBdr>
      <w:divsChild>
        <w:div w:id="1595749689">
          <w:marLeft w:val="0"/>
          <w:marRight w:val="0"/>
          <w:marTop w:val="0"/>
          <w:marBottom w:val="0"/>
          <w:divBdr>
            <w:top w:val="none" w:sz="0" w:space="0" w:color="auto"/>
            <w:left w:val="none" w:sz="0" w:space="0" w:color="auto"/>
            <w:bottom w:val="none" w:sz="0" w:space="0" w:color="auto"/>
            <w:right w:val="none" w:sz="0" w:space="0" w:color="auto"/>
          </w:divBdr>
          <w:divsChild>
            <w:div w:id="1896771608">
              <w:marLeft w:val="0"/>
              <w:marRight w:val="0"/>
              <w:marTop w:val="0"/>
              <w:marBottom w:val="0"/>
              <w:divBdr>
                <w:top w:val="none" w:sz="0" w:space="0" w:color="auto"/>
                <w:left w:val="none" w:sz="0" w:space="0" w:color="auto"/>
                <w:bottom w:val="none" w:sz="0" w:space="0" w:color="auto"/>
                <w:right w:val="none" w:sz="0" w:space="0" w:color="auto"/>
              </w:divBdr>
              <w:divsChild>
                <w:div w:id="11868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5578">
      <w:bodyDiv w:val="1"/>
      <w:marLeft w:val="0"/>
      <w:marRight w:val="0"/>
      <w:marTop w:val="0"/>
      <w:marBottom w:val="0"/>
      <w:divBdr>
        <w:top w:val="none" w:sz="0" w:space="0" w:color="auto"/>
        <w:left w:val="none" w:sz="0" w:space="0" w:color="auto"/>
        <w:bottom w:val="none" w:sz="0" w:space="0" w:color="auto"/>
        <w:right w:val="none" w:sz="0" w:space="0" w:color="auto"/>
      </w:divBdr>
      <w:divsChild>
        <w:div w:id="544218223">
          <w:marLeft w:val="0"/>
          <w:marRight w:val="0"/>
          <w:marTop w:val="0"/>
          <w:marBottom w:val="0"/>
          <w:divBdr>
            <w:top w:val="none" w:sz="0" w:space="0" w:color="auto"/>
            <w:left w:val="none" w:sz="0" w:space="0" w:color="auto"/>
            <w:bottom w:val="none" w:sz="0" w:space="0" w:color="auto"/>
            <w:right w:val="none" w:sz="0" w:space="0" w:color="auto"/>
          </w:divBdr>
          <w:divsChild>
            <w:div w:id="27613348">
              <w:marLeft w:val="0"/>
              <w:marRight w:val="0"/>
              <w:marTop w:val="0"/>
              <w:marBottom w:val="0"/>
              <w:divBdr>
                <w:top w:val="none" w:sz="0" w:space="0" w:color="auto"/>
                <w:left w:val="none" w:sz="0" w:space="0" w:color="auto"/>
                <w:bottom w:val="none" w:sz="0" w:space="0" w:color="auto"/>
                <w:right w:val="none" w:sz="0" w:space="0" w:color="auto"/>
              </w:divBdr>
              <w:divsChild>
                <w:div w:id="16103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6600">
      <w:bodyDiv w:val="1"/>
      <w:marLeft w:val="0"/>
      <w:marRight w:val="0"/>
      <w:marTop w:val="0"/>
      <w:marBottom w:val="0"/>
      <w:divBdr>
        <w:top w:val="none" w:sz="0" w:space="0" w:color="auto"/>
        <w:left w:val="none" w:sz="0" w:space="0" w:color="auto"/>
        <w:bottom w:val="none" w:sz="0" w:space="0" w:color="auto"/>
        <w:right w:val="none" w:sz="0" w:space="0" w:color="auto"/>
      </w:divBdr>
      <w:divsChild>
        <w:div w:id="118690746">
          <w:marLeft w:val="0"/>
          <w:marRight w:val="0"/>
          <w:marTop w:val="0"/>
          <w:marBottom w:val="0"/>
          <w:divBdr>
            <w:top w:val="none" w:sz="0" w:space="0" w:color="auto"/>
            <w:left w:val="none" w:sz="0" w:space="0" w:color="auto"/>
            <w:bottom w:val="none" w:sz="0" w:space="0" w:color="auto"/>
            <w:right w:val="none" w:sz="0" w:space="0" w:color="auto"/>
          </w:divBdr>
          <w:divsChild>
            <w:div w:id="20132020">
              <w:marLeft w:val="0"/>
              <w:marRight w:val="0"/>
              <w:marTop w:val="0"/>
              <w:marBottom w:val="0"/>
              <w:divBdr>
                <w:top w:val="none" w:sz="0" w:space="0" w:color="auto"/>
                <w:left w:val="none" w:sz="0" w:space="0" w:color="auto"/>
                <w:bottom w:val="none" w:sz="0" w:space="0" w:color="auto"/>
                <w:right w:val="none" w:sz="0" w:space="0" w:color="auto"/>
              </w:divBdr>
              <w:divsChild>
                <w:div w:id="4195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98223">
      <w:bodyDiv w:val="1"/>
      <w:marLeft w:val="0"/>
      <w:marRight w:val="0"/>
      <w:marTop w:val="0"/>
      <w:marBottom w:val="0"/>
      <w:divBdr>
        <w:top w:val="none" w:sz="0" w:space="0" w:color="auto"/>
        <w:left w:val="none" w:sz="0" w:space="0" w:color="auto"/>
        <w:bottom w:val="none" w:sz="0" w:space="0" w:color="auto"/>
        <w:right w:val="none" w:sz="0" w:space="0" w:color="auto"/>
      </w:divBdr>
    </w:div>
    <w:div w:id="1765951311">
      <w:bodyDiv w:val="1"/>
      <w:marLeft w:val="0"/>
      <w:marRight w:val="0"/>
      <w:marTop w:val="0"/>
      <w:marBottom w:val="0"/>
      <w:divBdr>
        <w:top w:val="none" w:sz="0" w:space="0" w:color="auto"/>
        <w:left w:val="none" w:sz="0" w:space="0" w:color="auto"/>
        <w:bottom w:val="none" w:sz="0" w:space="0" w:color="auto"/>
        <w:right w:val="none" w:sz="0" w:space="0" w:color="auto"/>
      </w:divBdr>
    </w:div>
    <w:div w:id="1915629427">
      <w:bodyDiv w:val="1"/>
      <w:marLeft w:val="0"/>
      <w:marRight w:val="0"/>
      <w:marTop w:val="0"/>
      <w:marBottom w:val="0"/>
      <w:divBdr>
        <w:top w:val="none" w:sz="0" w:space="0" w:color="auto"/>
        <w:left w:val="none" w:sz="0" w:space="0" w:color="auto"/>
        <w:bottom w:val="none" w:sz="0" w:space="0" w:color="auto"/>
        <w:right w:val="none" w:sz="0" w:space="0" w:color="auto"/>
      </w:divBdr>
    </w:div>
    <w:div w:id="1977757387">
      <w:bodyDiv w:val="1"/>
      <w:marLeft w:val="0"/>
      <w:marRight w:val="0"/>
      <w:marTop w:val="0"/>
      <w:marBottom w:val="0"/>
      <w:divBdr>
        <w:top w:val="none" w:sz="0" w:space="0" w:color="auto"/>
        <w:left w:val="none" w:sz="0" w:space="0" w:color="auto"/>
        <w:bottom w:val="none" w:sz="0" w:space="0" w:color="auto"/>
        <w:right w:val="none" w:sz="0" w:space="0" w:color="auto"/>
      </w:divBdr>
      <w:divsChild>
        <w:div w:id="1418592879">
          <w:marLeft w:val="0"/>
          <w:marRight w:val="0"/>
          <w:marTop w:val="0"/>
          <w:marBottom w:val="0"/>
          <w:divBdr>
            <w:top w:val="none" w:sz="0" w:space="0" w:color="auto"/>
            <w:left w:val="none" w:sz="0" w:space="0" w:color="auto"/>
            <w:bottom w:val="none" w:sz="0" w:space="0" w:color="auto"/>
            <w:right w:val="none" w:sz="0" w:space="0" w:color="auto"/>
          </w:divBdr>
          <w:divsChild>
            <w:div w:id="1990942198">
              <w:marLeft w:val="0"/>
              <w:marRight w:val="0"/>
              <w:marTop w:val="0"/>
              <w:marBottom w:val="0"/>
              <w:divBdr>
                <w:top w:val="none" w:sz="0" w:space="0" w:color="auto"/>
                <w:left w:val="none" w:sz="0" w:space="0" w:color="auto"/>
                <w:bottom w:val="none" w:sz="0" w:space="0" w:color="auto"/>
                <w:right w:val="none" w:sz="0" w:space="0" w:color="auto"/>
              </w:divBdr>
              <w:divsChild>
                <w:div w:id="16429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87839">
      <w:bodyDiv w:val="1"/>
      <w:marLeft w:val="0"/>
      <w:marRight w:val="0"/>
      <w:marTop w:val="0"/>
      <w:marBottom w:val="0"/>
      <w:divBdr>
        <w:top w:val="none" w:sz="0" w:space="0" w:color="auto"/>
        <w:left w:val="none" w:sz="0" w:space="0" w:color="auto"/>
        <w:bottom w:val="none" w:sz="0" w:space="0" w:color="auto"/>
        <w:right w:val="none" w:sz="0" w:space="0" w:color="auto"/>
      </w:divBdr>
    </w:div>
    <w:div w:id="2140490904">
      <w:bodyDiv w:val="1"/>
      <w:marLeft w:val="0"/>
      <w:marRight w:val="0"/>
      <w:marTop w:val="0"/>
      <w:marBottom w:val="0"/>
      <w:divBdr>
        <w:top w:val="none" w:sz="0" w:space="0" w:color="auto"/>
        <w:left w:val="none" w:sz="0" w:space="0" w:color="auto"/>
        <w:bottom w:val="none" w:sz="0" w:space="0" w:color="auto"/>
        <w:right w:val="none" w:sz="0" w:space="0" w:color="auto"/>
      </w:divBdr>
      <w:divsChild>
        <w:div w:id="1648431839">
          <w:marLeft w:val="0"/>
          <w:marRight w:val="0"/>
          <w:marTop w:val="0"/>
          <w:marBottom w:val="0"/>
          <w:divBdr>
            <w:top w:val="none" w:sz="0" w:space="0" w:color="auto"/>
            <w:left w:val="none" w:sz="0" w:space="0" w:color="auto"/>
            <w:bottom w:val="none" w:sz="0" w:space="0" w:color="auto"/>
            <w:right w:val="none" w:sz="0" w:space="0" w:color="auto"/>
          </w:divBdr>
          <w:divsChild>
            <w:div w:id="137653148">
              <w:marLeft w:val="0"/>
              <w:marRight w:val="0"/>
              <w:marTop w:val="0"/>
              <w:marBottom w:val="0"/>
              <w:divBdr>
                <w:top w:val="none" w:sz="0" w:space="0" w:color="auto"/>
                <w:left w:val="none" w:sz="0" w:space="0" w:color="auto"/>
                <w:bottom w:val="none" w:sz="0" w:space="0" w:color="auto"/>
                <w:right w:val="none" w:sz="0" w:space="0" w:color="auto"/>
              </w:divBdr>
              <w:divsChild>
                <w:div w:id="8905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aine@cosl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keuk.org/Services/Brexit" TargetMode="External"/><Relationship Id="rId2" Type="http://schemas.openxmlformats.org/officeDocument/2006/relationships/hyperlink" Target="https://www.gov.scot/publications/uk-immigration-policy-leaving-eu-impacts-scotlands-economy-population-society/" TargetMode="External"/><Relationship Id="rId1" Type="http://schemas.openxmlformats.org/officeDocument/2006/relationships/hyperlink" Target="https://www2.gov.scot/Topics/Statistics/Browse/Labour-Market/PublicSectorEmployment/LAPSE" TargetMode="External"/><Relationship Id="rId5" Type="http://schemas.openxmlformats.org/officeDocument/2006/relationships/hyperlink" Target="https://www.gov.scot/publications/scotlands-place-europe/" TargetMode="External"/><Relationship Id="rId4" Type="http://schemas.openxmlformats.org/officeDocument/2006/relationships/hyperlink" Target="https://www.gov.scot/publications/blueprint-2020-expansion-early-learning-childcare-scotland-quality-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6" ma:contentTypeDescription="Create a new report" ma:contentTypeScope="" ma:versionID="58778b9898d3055a82caeda1035cbd16">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c0e87d655d7b0e447509fc51e870b8bd"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635CDC4-FD21-4C57-8055-4D19BD057FDF">Response</Document_x0020_TYpe>
    <Owner xmlns="3635CDC4-FD21-4C57-8055-4D19BD057FDF">Lorraine Cook</Owner>
    <_Flow_SignoffStatus xmlns="78d3fe47-0298-401f-81f5-62a92c63d029" xsi:nil="true"/>
    <Team xmlns="78d3fe47-0298-401f-81f5-62a92c63d029">Mig, Pop &amp; Div</Te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1DD54-CBE0-4A7B-A0DB-18C080C78E2F}">
  <ds:schemaRefs>
    <ds:schemaRef ds:uri="http://schemas.microsoft.com/office/2006/metadata/customXsn"/>
  </ds:schemaRefs>
</ds:datastoreItem>
</file>

<file path=customXml/itemProps2.xml><?xml version="1.0" encoding="utf-8"?>
<ds:datastoreItem xmlns:ds="http://schemas.openxmlformats.org/officeDocument/2006/customXml" ds:itemID="{68512EAC-BF8B-44B9-9F28-449D88C74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7D151-5776-44B7-B342-3A8453FB6877}">
  <ds:schemaRefs>
    <ds:schemaRef ds:uri="http://schemas.microsoft.com/office/2006/metadata/properties"/>
    <ds:schemaRef ds:uri="http://schemas.microsoft.com/office/infopath/2007/PartnerControls"/>
    <ds:schemaRef ds:uri="3635CDC4-FD21-4C57-8055-4D19BD057FDF"/>
    <ds:schemaRef ds:uri="78d3fe47-0298-401f-81f5-62a92c63d029"/>
  </ds:schemaRefs>
</ds:datastoreItem>
</file>

<file path=customXml/itemProps4.xml><?xml version="1.0" encoding="utf-8"?>
<ds:datastoreItem xmlns:ds="http://schemas.openxmlformats.org/officeDocument/2006/customXml" ds:itemID="{E89C20EA-93F5-4E01-A7C6-18477A9CB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6180</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Mirren Kelly</cp:lastModifiedBy>
  <cp:revision>426</cp:revision>
  <cp:lastPrinted>2019-10-30T13:47:00Z</cp:lastPrinted>
  <dcterms:created xsi:type="dcterms:W3CDTF">2019-10-30T16:47:00Z</dcterms:created>
  <dcterms:modified xsi:type="dcterms:W3CDTF">2020-08-04T11:01:00Z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